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23" w:rsidRDefault="00EA5A23" w:rsidP="0068274F">
      <w:pPr>
        <w:pStyle w:val="2"/>
        <w:jc w:val="center"/>
        <w:rPr>
          <w:rFonts w:ascii="TH SarabunIT๙" w:eastAsia="Calibri" w:hAnsi="TH SarabunIT๙" w:cs="TH SarabunIT๙"/>
        </w:rPr>
      </w:pPr>
    </w:p>
    <w:p w:rsidR="0068274F" w:rsidRPr="0068274F" w:rsidRDefault="0068274F" w:rsidP="0068274F">
      <w:pPr>
        <w:pStyle w:val="2"/>
        <w:jc w:val="center"/>
        <w:rPr>
          <w:rFonts w:ascii="TH SarabunIT๙" w:eastAsia="Calibri" w:hAnsi="TH SarabunIT๙" w:cs="TH SarabunIT๙"/>
        </w:rPr>
      </w:pPr>
      <w:r w:rsidRPr="0068274F">
        <w:rPr>
          <w:rFonts w:ascii="TH SarabunIT๙" w:eastAsia="Calibri" w:hAnsi="TH SarabunIT๙" w:cs="TH SarabunIT๙"/>
          <w:cs/>
        </w:rPr>
        <w:t>งานวิจัย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68274F">
        <w:rPr>
          <w:rFonts w:ascii="TH SarabunIT๙" w:eastAsia="Calibri" w:hAnsi="TH SarabunIT๙" w:cs="TH SarabunIT๙"/>
          <w:cs/>
        </w:rPr>
        <w:t xml:space="preserve">และพัฒนา </w:t>
      </w:r>
      <w:r w:rsidRPr="0068274F">
        <w:rPr>
          <w:rFonts w:ascii="TH SarabunIT๙" w:eastAsia="Calibri" w:hAnsi="TH SarabunIT๙" w:cs="TH SarabunIT๙"/>
        </w:rPr>
        <w:t>(Research and Development)</w:t>
      </w:r>
    </w:p>
    <w:p w:rsidR="0068274F" w:rsidRDefault="0068274F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6A90" w:rsidRPr="004756BC" w:rsidRDefault="003D6A90" w:rsidP="003D6A9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0821B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6BC">
        <w:rPr>
          <w:rFonts w:ascii="TH SarabunIT๙" w:hAnsi="TH SarabunIT๙" w:cs="TH SarabunIT๙"/>
          <w:sz w:val="32"/>
          <w:szCs w:val="32"/>
        </w:rPr>
        <w:tab/>
      </w:r>
      <w:r w:rsidR="004714D0" w:rsidRPr="004714D0">
        <w:rPr>
          <w:rFonts w:ascii="TH SarabunPSK" w:eastAsia="Times New Roman" w:hAnsi="TH SarabunPSK" w:cs="TH SarabunPSK"/>
          <w:sz w:val="32"/>
          <w:szCs w:val="32"/>
          <w:cs/>
        </w:rPr>
        <w:t>การติดตามปรับขนาดยาตามการทำงานของไตในผู้ป่วยสูงอายุ</w:t>
      </w:r>
    </w:p>
    <w:p w:rsidR="004756BC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4756BC" w:rsidP="003D6A9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ชื่อผู้วิจัย หรือคณะผู้วิจัย พร้อมชื่อหน่วยงาน</w:t>
      </w:r>
      <w:r w:rsidR="007F5F2A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7F5F2A" w:rsidRPr="007F5F2A" w:rsidRDefault="007F5F2A" w:rsidP="007F5F2A">
      <w:pPr>
        <w:spacing w:after="0" w:line="23" w:lineRule="atLeast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นันทวรรณ</w:t>
      </w:r>
      <w:proofErr w:type="spellEnd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 ศรีสุดใจ          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75</w:t>
      </w:r>
    </w:p>
    <w:p w:rsidR="007F5F2A" w:rsidRPr="007F5F2A" w:rsidRDefault="007F5F2A" w:rsidP="007F5F2A">
      <w:pPr>
        <w:spacing w:after="0" w:line="23" w:lineRule="atLeast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นายปารเมศ  ถนอมกิจ                     ร้อยละ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20</w:t>
      </w:r>
    </w:p>
    <w:p w:rsidR="007F5F2A" w:rsidRPr="007F5F2A" w:rsidRDefault="007F5F2A" w:rsidP="007F5F2A">
      <w:pPr>
        <w:spacing w:after="0" w:line="23" w:lineRule="atLeast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ณีร</w:t>
      </w:r>
      <w:proofErr w:type="spellEnd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ชา  คมขำ                       ร้อยละ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5</w:t>
      </w: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เสนอผลงาน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D6A90">
        <w:rPr>
          <w:rFonts w:ascii="TH SarabunIT๙" w:hAnsi="TH SarabunIT๙" w:cs="TH SarabunIT๙" w:hint="cs"/>
          <w:sz w:val="32"/>
          <w:szCs w:val="32"/>
          <w:cs/>
        </w:rPr>
        <w:t>พร้อมรายละเอียดที่ติดต่อกลับหมายเลขโทรศัพท์/</w:t>
      </w:r>
      <w:r w:rsidR="003D6A90">
        <w:rPr>
          <w:rFonts w:ascii="TH SarabunIT๙" w:hAnsi="TH SarabunIT๙" w:cs="TH SarabunIT๙"/>
          <w:sz w:val="32"/>
          <w:szCs w:val="32"/>
        </w:rPr>
        <w:t>E-mail</w:t>
      </w:r>
      <w:r w:rsidR="003D6A9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5F2A" w:rsidRDefault="007F5F2A" w:rsidP="003D6A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นันทว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รรณ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ศรีสุดใจ  </w:t>
      </w:r>
    </w:p>
    <w:p w:rsidR="003D6A90" w:rsidRDefault="007F5F2A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086-6179007 </w:t>
      </w:r>
      <w:r>
        <w:rPr>
          <w:rFonts w:ascii="TH SarabunPSK" w:eastAsia="Times New Roman" w:hAnsi="TH SarabunPSK" w:cs="TH SarabunPSK"/>
          <w:sz w:val="32"/>
          <w:szCs w:val="32"/>
        </w:rPr>
        <w:t>e-mail : nuntawan.sr@gmail.com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   </w:t>
      </w:r>
    </w:p>
    <w:p w:rsidR="007F5F2A" w:rsidRDefault="007F5F2A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6A90" w:rsidRPr="003F2D66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 </w:t>
      </w: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และวัตถุประสงค์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6A90" w:rsidRPr="003F2D6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56BC">
        <w:rPr>
          <w:rFonts w:ascii="TH SarabunIT๙" w:hAnsi="TH SarabunIT๙" w:cs="TH SarabunIT๙"/>
          <w:sz w:val="32"/>
          <w:szCs w:val="32"/>
          <w:cs/>
        </w:rPr>
        <w:t>กล่าวถึงความส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6BC">
        <w:rPr>
          <w:rFonts w:ascii="TH SarabunIT๙" w:hAnsi="TH SarabunIT๙" w:cs="TH SarabunIT๙"/>
          <w:sz w:val="32"/>
          <w:szCs w:val="32"/>
          <w:cs/>
        </w:rPr>
        <w:t>คัญของปัญหาวิจัย วัตถุประสงค์การศึกษา/วิจัย อย่างรัดกุมและได้ใจความ</w:t>
      </w:r>
      <w:r w:rsidR="003D6A90" w:rsidRPr="003F2D6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5F2A" w:rsidRPr="007F5F2A" w:rsidRDefault="007F5F2A" w:rsidP="007F5F2A">
      <w:pPr>
        <w:spacing w:after="0" w:line="23" w:lineRule="atLeast"/>
        <w:ind w:firstLine="60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จากรายงานของสมาคมโรคไตแห่งประเทศไทยมีแนวโน้มพบอุบัติการณ์ของโรคไตเรื้อรังเพิ่มขึ้นตามอายุที่มากขึ้น และส่วนหนึ่งไม่ทราบว่าตนเองเป็นโรคไตเรื้อรัง ซึ่งค่าปกติของ</w:t>
      </w:r>
      <w:r w:rsidRPr="007F5F2A">
        <w:rPr>
          <w:rFonts w:ascii="TH SarabunPSK" w:eastAsia="Times New Roman" w:hAnsi="TH SarabunPSK" w:cs="TH SarabunPSK" w:hint="cs"/>
          <w:sz w:val="32"/>
          <w:szCs w:val="32"/>
          <w:cs/>
        </w:rPr>
        <w:t>ค่าอัตราการกรองของไต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5F2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</w:rPr>
        <w:t>eGFR</w:t>
      </w:r>
      <w:proofErr w:type="spellEnd"/>
      <w:r w:rsidRPr="007F5F2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ในผู้ใหญ่จะมีค่าประมาณ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120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-130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mL/min/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1.73</w:t>
      </w:r>
      <w:r w:rsidRPr="007F5F2A">
        <w:rPr>
          <w:rFonts w:ascii="TH SarabunPSK" w:eastAsia="Times New Roman" w:hAnsi="TH SarabunPSK" w:cs="TH SarabunPSK"/>
          <w:sz w:val="32"/>
          <w:szCs w:val="32"/>
        </w:rPr>
        <w:t>m</w:t>
      </w:r>
      <w:r w:rsidRPr="007F5F2A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เมื่ออายุมากกว่า 30 ปี ระดับ 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</w:rPr>
        <w:t>eGFR</w:t>
      </w:r>
      <w:proofErr w:type="spellEnd"/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จะลดลงตามอายุในอัตรา 1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mL/min/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1.73</w:t>
      </w:r>
      <w:r w:rsidRPr="007F5F2A">
        <w:rPr>
          <w:rFonts w:ascii="TH SarabunPSK" w:eastAsia="Times New Roman" w:hAnsi="TH SarabunPSK" w:cs="TH SarabunPSK"/>
          <w:sz w:val="32"/>
          <w:szCs w:val="32"/>
        </w:rPr>
        <w:t>m</w:t>
      </w:r>
      <w:r w:rsidRPr="007F5F2A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ต่อปี ดังนั้นระดับ 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</w:rPr>
        <w:t>eGFR</w:t>
      </w:r>
      <w:proofErr w:type="spellEnd"/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ที่ลดลงต่ำกว่า 60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mL/min/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1.73</w:t>
      </w:r>
      <w:r w:rsidRPr="007F5F2A">
        <w:rPr>
          <w:rFonts w:ascii="TH SarabunPSK" w:eastAsia="Times New Roman" w:hAnsi="TH SarabunPSK" w:cs="TH SarabunPSK"/>
          <w:sz w:val="32"/>
          <w:szCs w:val="32"/>
        </w:rPr>
        <w:t>m</w:t>
      </w:r>
      <w:r w:rsidRPr="007F5F2A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จึงแสดงถึงระดับการทำงานของไตลดลงประมาณครึ่งหนึ่งของภาวะปกติ นอกจากนี้เมื่ออายุเพิ่มมากขึ้น ไตจะมีขนาด น้ำหนัก และปริมาตรลดลง ความสามารถของหน่วยไตในการกรองของเสียและน้ำลดลง รวมถึงการสะสมของพังผืด ซึ่งมีโอกาสทำให้เกิดภาวะแทรกซ้อนต่างๆ ของโรคไตได้มากขึ้น </w:t>
      </w:r>
    </w:p>
    <w:p w:rsidR="007F5F2A" w:rsidRPr="007F5F2A" w:rsidRDefault="007F5F2A" w:rsidP="007F5F2A">
      <w:pPr>
        <w:spacing w:after="0" w:line="23" w:lineRule="atLeast"/>
        <w:ind w:firstLine="60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ในปัจจุบันปัญหาโรคไตเรื้อรังที่พบมากในกลุ่มผู้สูงอายุ ส่งผลกระทบต่อทางสาธารณสุข ทั้งด้านปัญหาสุขภาพของผู้ป่วย และปัญหาทางเศรษฐกิจของผู้ป่วยและโรงพยาบาลที่จะต้องแบกรับค่าใช้จ่ายในการรักษาโรคไตเรื้อรังที่มีราคาสูง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โดยเฉพาะอย่างยิ่งในผู้ป่วยที่เข้ารับการรักษาในหอผู้ป่วยในที่ต้องได้รับยาหลายชนิด ทั้งยารักษาโรคเฉียบพลันและยารักษาโรคประจำตัวเรื้อรัง รวมไปถึงการทำงานของอวัยวะภายในที่เปลี่ยนไปจากสภาวะปกติเนื่องจากอาการเจ็บป่วย ก็อาจส่งผลทำให้เกิดอาการไม่พึงประสงค์หรือภาวะแทรกซ้อนทางไตตามมา ซึ่งปัจจัยด้านอายุเป็นปัจจัยเสี่ยงของโรคที่ไม่สามารถเปลี่ยนแปลงได้ แต่สามารถป้องกันและชะลอได้ โดยการคัดกรองโรคหรือการให้บริบาลทางเภสัชกรรมที่เหมาะสม </w:t>
      </w:r>
    </w:p>
    <w:p w:rsidR="007F5F2A" w:rsidRPr="007F5F2A" w:rsidRDefault="007F5F2A" w:rsidP="007F5F2A">
      <w:pPr>
        <w:spacing w:after="0" w:line="23" w:lineRule="atLeast"/>
        <w:ind w:firstLine="60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ั้งนี้ผู้ป่วยสูงอายุที่เข้ารับการรักษาตัวในโรงพยาบาลจะได้รับยาในการรักษาโรคเพิ่มมากขึ้นและมีค่าการทำงานของไตที่เปลี่ยนแปลงไปในขณะรักษา อาจส่งผลให้ผู้ป่วยได้รับยาในขนาดที่ไม่เหมาะสมกับ</w:t>
      </w:r>
      <w:proofErr w:type="spellStart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ภาวะการ</w:t>
      </w:r>
      <w:proofErr w:type="spellEnd"/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ทำงานของไต ซึ่งจะส่งผลให้ผู้ป่วยได้รับยาเกินขนาด หรือได้รับยาในขนาดที่ไม่เพียงพอต่อการรักษา หากผู้ป่วยได้รับยาเกินขนาดจะส่งผลให้มีระดับยาในเลือดมากเกินอาจทำให้เกิดอันตรายต่อผู้ป่วย หรือส่งผลต่อการทำงานของไตทำให้การทำงานของไตลดลงและเกิดภาวะแทรกซ้อนทางไตเพิ่มมากขึ้น หากผู้ป่วยได้รับยาในขนาดที่ไม่เพียงพอต่อการรักษาอาจส่งผลให้ผู้ป่วยต้องได้รับการรักษานานขึ้น</w:t>
      </w:r>
    </w:p>
    <w:p w:rsidR="007F5F2A" w:rsidRPr="007F5F2A" w:rsidRDefault="007F5F2A" w:rsidP="007F5F2A">
      <w:pPr>
        <w:spacing w:after="0" w:line="23" w:lineRule="atLeast"/>
        <w:ind w:firstLine="60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การศึกษานี้จึงได้มีการติดตามปรับยาตามการทำงานของไตในผู้ป่วยสูงอายุที่เข้ารับการรักษาตัวในโรงพยาบาลพนัสนิคม เพื่อให้ผู้ป่วยได้รับยาที่เหมาะสมตามค่าการทำงานของไต ทำให้ผู้ป่วยได้รับยาที่ถูกต้องเหมาะสมและปลอดภัยจากการใช้ยา รวมไปถึงการประหยัดค่าใช้จ่ายจากมูลค่ายาหลังจากการปรับขนาดยาตามการทำงานของไตร่วมด้วย</w:t>
      </w: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2D3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วิธีการศึกษา</w:t>
      </w:r>
      <w:r w:rsidR="00475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2D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อธิบายรูปแบบการศึกษา (</w:t>
      </w:r>
      <w:r w:rsidR="004756BC" w:rsidRPr="004756BC">
        <w:rPr>
          <w:rFonts w:ascii="TH SarabunIT๙" w:hAnsi="TH SarabunIT๙" w:cs="TH SarabunIT๙"/>
          <w:sz w:val="32"/>
          <w:szCs w:val="32"/>
        </w:rPr>
        <w:t xml:space="preserve">research design) 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การก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หนดตัวอย่าง และวิธีการคัดเลือกกลุ่มตัวอย่าง วิธีการวิเคราะห์ข้อมูล/สถิติที่ใช้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2E8" w:rsidRPr="003C02E8" w:rsidRDefault="007F5F2A" w:rsidP="003C02E8">
      <w:pPr>
        <w:spacing w:after="0" w:line="23" w:lineRule="atLeast"/>
        <w:ind w:firstLine="60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การศึกษานี้เป็นการศึกษาเชิง</w:t>
      </w:r>
      <w:r w:rsidRPr="007F5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วิเคราะห์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(Prospective Cohort Study)</w:t>
      </w:r>
      <w:r w:rsidRPr="007F5F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ซึ่งบันทึกข้อมูลผู้ป่วยทุกคนที่ได้รับการรักษาตัวในโรงพยาบาลที่มีอายุมากกว่า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60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ปี ขึ้นไป และมีค่าการทำงานของไตน้อยกว่า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60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ml/min/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>1.73</w:t>
      </w:r>
      <w:r w:rsidRPr="007F5F2A">
        <w:rPr>
          <w:rFonts w:ascii="TH SarabunPSK" w:eastAsia="Times New Roman" w:hAnsi="TH SarabunPSK" w:cs="TH SarabunPSK"/>
          <w:sz w:val="32"/>
          <w:szCs w:val="32"/>
        </w:rPr>
        <w:t>m</w:t>
      </w:r>
      <w:r w:rsidRPr="007F5F2A">
        <w:rPr>
          <w:rFonts w:ascii="TH SarabunPSK" w:eastAsia="Times New Roman" w:hAnsi="TH SarabunPSK" w:cs="TH SarabunPSK"/>
          <w:sz w:val="32"/>
          <w:szCs w:val="32"/>
          <w:vertAlign w:val="superscript"/>
          <w:cs/>
        </w:rPr>
        <w:t>2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ในระหว่างวันที่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1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ตุลาคม พ.ศ.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2561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ถึง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30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พ.ศ. </w:t>
      </w:r>
      <w:r w:rsidRPr="007F5F2A">
        <w:rPr>
          <w:rFonts w:ascii="TH SarabunPSK" w:eastAsia="Times New Roman" w:hAnsi="TH SarabunPSK" w:cs="TH SarabunPSK"/>
          <w:sz w:val="32"/>
          <w:szCs w:val="32"/>
        </w:rPr>
        <w:t>2562</w:t>
      </w:r>
      <w:r w:rsidRPr="007F5F2A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รวมระยะเวลา </w:t>
      </w:r>
      <w:r w:rsidRPr="007F5F2A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="003C02E8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3C02E8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3C02E8" w:rsidRPr="000B0888" w:rsidRDefault="003C02E8" w:rsidP="003C02E8">
      <w:pPr>
        <w:spacing w:after="0" w:line="23" w:lineRule="atLeast"/>
        <w:ind w:firstLine="607"/>
        <w:jc w:val="thaiDistribute"/>
        <w:rPr>
          <w:rFonts w:ascii="TH SarabunPSK" w:hAnsi="TH SarabunPSK" w:cs="TH SarabunPSK"/>
          <w:sz w:val="32"/>
          <w:szCs w:val="32"/>
        </w:rPr>
      </w:pPr>
      <w:r w:rsidRPr="000B0888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วิเคราะห์ข้อมูลด้วยระบบคอมพิวเตอร์โดยใช้โปรแกรม </w:t>
      </w:r>
      <w:r w:rsidRPr="000B0888">
        <w:rPr>
          <w:rFonts w:ascii="TH SarabunPSK" w:hAnsi="TH SarabunPSK" w:cs="TH SarabunPSK"/>
          <w:sz w:val="32"/>
          <w:szCs w:val="32"/>
        </w:rPr>
        <w:t xml:space="preserve">SPSS for window version 22 </w:t>
      </w:r>
      <w:r w:rsidRPr="000B0888">
        <w:rPr>
          <w:rFonts w:ascii="TH SarabunPSK" w:hAnsi="TH SarabunPSK" w:cs="TH SarabunPSK"/>
          <w:sz w:val="32"/>
          <w:szCs w:val="32"/>
          <w:cs/>
        </w:rPr>
        <w:t>กำหนดค่านัยสำคัญทางสถิติ (</w:t>
      </w:r>
      <w:r w:rsidRPr="000B0888">
        <w:rPr>
          <w:rFonts w:ascii="TH SarabunPSK" w:hAnsi="TH SarabunPSK" w:cs="TH SarabunPSK"/>
          <w:sz w:val="32"/>
          <w:szCs w:val="32"/>
        </w:rPr>
        <w:t xml:space="preserve">P) </w:t>
      </w:r>
      <w:r w:rsidRPr="000B0888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0B0888">
        <w:rPr>
          <w:rFonts w:ascii="TH SarabunPSK" w:hAnsi="TH SarabunPSK" w:cs="TH SarabunPSK"/>
          <w:sz w:val="32"/>
          <w:szCs w:val="32"/>
        </w:rPr>
        <w:t xml:space="preserve">0.05 </w:t>
      </w:r>
    </w:p>
    <w:p w:rsidR="003C02E8" w:rsidRPr="000B088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088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B0888">
        <w:rPr>
          <w:rFonts w:ascii="TH SarabunPSK" w:hAnsi="TH SarabunPSK" w:cs="TH SarabunPSK"/>
          <w:sz w:val="32"/>
          <w:szCs w:val="32"/>
        </w:rPr>
        <w:t xml:space="preserve"> </w:t>
      </w:r>
      <w:r w:rsidRPr="000B0888">
        <w:rPr>
          <w:rFonts w:ascii="TH SarabunPSK" w:hAnsi="TH SarabunPSK" w:cs="TH SarabunPSK"/>
          <w:sz w:val="32"/>
          <w:szCs w:val="32"/>
          <w:cs/>
        </w:rPr>
        <w:t>ตัวแปรและสถิติที่ใช้ในการศึกษาการติดตามปรับขนาดยาตามการทำงานของไตในผู้ป่วยสูงอายุ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538"/>
        <w:gridCol w:w="3117"/>
      </w:tblGrid>
      <w:tr w:rsidR="003C02E8" w:rsidRPr="000B0888" w:rsidTr="00891A02">
        <w:trPr>
          <w:tblHeader/>
        </w:trPr>
        <w:tc>
          <w:tcPr>
            <w:tcW w:w="2695" w:type="dxa"/>
            <w:shd w:val="clear" w:color="auto" w:fill="E7E6E6"/>
          </w:tcPr>
          <w:p w:rsidR="003C02E8" w:rsidRPr="000B0888" w:rsidRDefault="003C02E8" w:rsidP="00891A02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538" w:type="dxa"/>
            <w:shd w:val="clear" w:color="auto" w:fill="E7E6E6"/>
          </w:tcPr>
          <w:p w:rsidR="003C02E8" w:rsidRPr="000B0888" w:rsidRDefault="003C02E8" w:rsidP="00891A02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3117" w:type="dxa"/>
            <w:shd w:val="clear" w:color="auto" w:fill="E7E6E6"/>
          </w:tcPr>
          <w:p w:rsidR="003C02E8" w:rsidRPr="000B0888" w:rsidRDefault="003C02E8" w:rsidP="00891A02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3C02E8" w:rsidRPr="000B0888" w:rsidTr="00891A02">
        <w:tc>
          <w:tcPr>
            <w:tcW w:w="2695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ปัจจัยที่มีความสัมพันธ์กับค่าอัตราการกรองของไตในผู้ป่วยสูงอายุ</w:t>
            </w:r>
          </w:p>
        </w:tc>
        <w:tc>
          <w:tcPr>
            <w:tcW w:w="3538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ตัวแปรต้น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อายุ (ตัวแปรต่อเนื่อง)จำนวนรายการยา (ตัวแปรต่อเนื่อง)โรคประจำตัว (ตัวแปรกลุ่ม)</w:t>
            </w:r>
          </w:p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ตัวแปรตาม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spellStart"/>
            <w:r w:rsidRPr="000B0888">
              <w:rPr>
                <w:rFonts w:ascii="TH SarabunPSK" w:hAnsi="TH SarabunPSK" w:cs="TH SarabunPSK"/>
                <w:sz w:val="32"/>
                <w:szCs w:val="32"/>
              </w:rPr>
              <w:t>eGFR</w:t>
            </w:r>
            <w:proofErr w:type="spellEnd"/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(ตัวแปรต่อเนื่อง)</w:t>
            </w:r>
          </w:p>
        </w:tc>
        <w:tc>
          <w:tcPr>
            <w:tcW w:w="3117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Pearson’s Correlation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Spearman’s Rank Correlation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(สำหรับข้อมูลตัวแปรต้นเป็นตัวแปรต่อเนื่อง)</w:t>
            </w:r>
          </w:p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Independent t-test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Mann-Whitney U test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(สำหรับข้อมูลตัวแปรต้นเป็นตัวแปรกลุ่ม)</w:t>
            </w:r>
          </w:p>
        </w:tc>
      </w:tr>
      <w:tr w:rsidR="003C02E8" w:rsidRPr="000B0888" w:rsidTr="00891A02">
        <w:tc>
          <w:tcPr>
            <w:tcW w:w="2695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ผลของการแนะนำการปรับขนาดยาตามการทำงานของ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ไตในผู้ป่วยสูงอายุโดยเภสัชกร</w:t>
            </w:r>
          </w:p>
        </w:tc>
        <w:tc>
          <w:tcPr>
            <w:tcW w:w="3538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ตัวแปรต้น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จำนวนครั้งที่เภสัชกรแนะนำการปรับขนาดยา</w:t>
            </w:r>
          </w:p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ตัวแปรตาม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จำนวนครั้งที่แพทย์ปรับขนาดยา</w:t>
            </w:r>
          </w:p>
        </w:tc>
        <w:tc>
          <w:tcPr>
            <w:tcW w:w="3117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ความถี่ สัดส่วน ร้อยละ</w:t>
            </w:r>
          </w:p>
        </w:tc>
      </w:tr>
      <w:tr w:rsidR="003C02E8" w:rsidRPr="000B0888" w:rsidTr="00891A02">
        <w:tc>
          <w:tcPr>
            <w:tcW w:w="2695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ผลลัพธ์ทางเภสัชเศรษฐศาสตร์หลังการปรับขนาดยาตามการทำงานของไตในผู้ป่วยสูงอายุ</w:t>
            </w:r>
          </w:p>
        </w:tc>
        <w:tc>
          <w:tcPr>
            <w:tcW w:w="3538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ตัวแปรต้น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จำนวนยาที่ใช้</w:t>
            </w:r>
          </w:p>
          <w:p w:rsidR="003C02E8" w:rsidRPr="000B0888" w:rsidRDefault="003C02E8" w:rsidP="00891A02">
            <w:pPr>
              <w:spacing w:after="0" w:line="23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ตัวแปรตาม </w:t>
            </w:r>
            <w:r w:rsidRPr="000B088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B0888">
              <w:rPr>
                <w:rFonts w:ascii="TH SarabunPSK" w:hAnsi="TH SarabunPSK" w:cs="TH SarabunPSK"/>
                <w:sz w:val="32"/>
                <w:szCs w:val="32"/>
                <w:cs/>
              </w:rPr>
              <w:t>มูลค่ายาที่ประหยัดได้หลังจากปรับขนาดยา</w:t>
            </w:r>
          </w:p>
        </w:tc>
        <w:tc>
          <w:tcPr>
            <w:tcW w:w="3117" w:type="dxa"/>
            <w:shd w:val="clear" w:color="auto" w:fill="auto"/>
          </w:tcPr>
          <w:p w:rsidR="003C02E8" w:rsidRPr="000B0888" w:rsidRDefault="003C02E8" w:rsidP="00891A02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2E8" w:rsidRPr="000B0888" w:rsidRDefault="003C02E8" w:rsidP="00891A02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088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3C02E8" w:rsidRPr="007F5F2A" w:rsidRDefault="003C02E8" w:rsidP="003C02E8">
      <w:pPr>
        <w:spacing w:after="0" w:line="23" w:lineRule="atLeast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66D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อธิบายผลการศึกษาที่ส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คัญ สอดคล้องกับวิธีการศึกษา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3C02E8" w:rsidRPr="003C02E8" w:rsidRDefault="003C02E8" w:rsidP="003C02E8">
      <w:pPr>
        <w:spacing w:after="1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ab/>
        <w:t xml:space="preserve">ผู้ป่วยส่วนใหญ่เป็นเพศหญิง มีอายุเฉลี่ย </w:t>
      </w:r>
      <w:r w:rsidRPr="003C02E8">
        <w:rPr>
          <w:rFonts w:ascii="TH SarabunPSK" w:hAnsi="TH SarabunPSK" w:cs="TH SarabunPSK"/>
          <w:sz w:val="32"/>
          <w:szCs w:val="32"/>
        </w:rPr>
        <w:t>77.45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>9.09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น้ำหนักเฉลี่ย </w:t>
      </w:r>
      <w:r w:rsidRPr="003C02E8">
        <w:rPr>
          <w:rFonts w:ascii="TH SarabunPSK" w:hAnsi="TH SarabunPSK" w:cs="TH SarabunPSK"/>
          <w:sz w:val="32"/>
          <w:szCs w:val="32"/>
        </w:rPr>
        <w:t>55.23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 xml:space="preserve">7.34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02E8">
        <w:rPr>
          <w:rFonts w:ascii="TH SarabunPSK" w:hAnsi="TH SarabunPSK" w:cs="TH SarabunPSK"/>
          <w:sz w:val="32"/>
          <w:szCs w:val="32"/>
        </w:rPr>
        <w:t>47.12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>8.23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กิโลกรัม จำแนกตามเพศชายและหญิงตามลำดับ จำนวนรายการยาที่ได้รับเฉลี่ย </w:t>
      </w:r>
      <w:r w:rsidRPr="003C02E8">
        <w:rPr>
          <w:rFonts w:ascii="TH SarabunPSK" w:hAnsi="TH SarabunPSK" w:cs="TH SarabunPSK"/>
          <w:sz w:val="32"/>
          <w:szCs w:val="32"/>
        </w:rPr>
        <w:t>8.17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 xml:space="preserve">4.05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รายการ ผลตรวจทางห้องปฏิบัติการทั้งหมดบันทึกผลจากการตรวจครั้งแรกหลังรับการรักษาเข้าในหอผู้ป่วยในมีค่าความดันโลหิต </w:t>
      </w:r>
      <w:r w:rsidRPr="003C02E8">
        <w:rPr>
          <w:rFonts w:ascii="TH SarabunPSK" w:hAnsi="TH SarabunPSK" w:cs="TH SarabunPSK"/>
          <w:sz w:val="32"/>
          <w:szCs w:val="32"/>
        </w:rPr>
        <w:t>systolic 157.13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 xml:space="preserve">18.65 mmHg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02E8">
        <w:rPr>
          <w:rFonts w:ascii="TH SarabunPSK" w:hAnsi="TH SarabunPSK" w:cs="TH SarabunPSK"/>
          <w:sz w:val="32"/>
          <w:szCs w:val="32"/>
        </w:rPr>
        <w:t>diastolic 91.12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 xml:space="preserve">12.34 mmHg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ผลตรวจค่าการทำงานของไต 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 45.77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>5.46 ml/min/1.73m</w:t>
      </w:r>
      <w:r w:rsidRPr="003C02E8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และ</w:t>
      </w:r>
      <w:r w:rsidRPr="003C02E8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CrCl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40.25</w:t>
      </w:r>
      <w:r w:rsidRPr="003C02E8">
        <w:rPr>
          <w:rFonts w:ascii="TH SarabunPSK" w:hAnsi="TH SarabunPSK" w:cs="TH SarabunPSK"/>
          <w:sz w:val="32"/>
          <w:szCs w:val="32"/>
          <w:u w:val="single"/>
        </w:rPr>
        <w:t>+</w:t>
      </w:r>
      <w:r w:rsidRPr="003C02E8">
        <w:rPr>
          <w:rFonts w:ascii="TH SarabunPSK" w:hAnsi="TH SarabunPSK" w:cs="TH SarabunPSK"/>
          <w:sz w:val="32"/>
          <w:szCs w:val="32"/>
        </w:rPr>
        <w:t>5.23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</w:rPr>
        <w:t xml:space="preserve">ml/min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ผลตรวจระดับน้ำตาลในเลือด </w:t>
      </w:r>
      <w:r w:rsidRPr="003C02E8">
        <w:rPr>
          <w:rFonts w:ascii="TH SarabunPSK" w:hAnsi="TH SarabunPSK" w:cs="TH SarabunPSK"/>
          <w:sz w:val="32"/>
          <w:szCs w:val="32"/>
        </w:rPr>
        <w:t xml:space="preserve">(FBS) </w:t>
      </w:r>
      <w:r w:rsidRPr="003C02E8">
        <w:rPr>
          <w:rFonts w:ascii="TH SarabunPSK" w:hAnsi="TH SarabunPSK" w:cs="TH SarabunPSK"/>
          <w:sz w:val="32"/>
          <w:szCs w:val="32"/>
          <w:cs/>
        </w:rPr>
        <w:t>มีค่าผลตรวจเฉพาะบางรายมีค่า 162.35</w:t>
      </w:r>
      <w:r w:rsidRPr="003C02E8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27.24 </w:t>
      </w:r>
      <w:r w:rsidRPr="003C02E8">
        <w:rPr>
          <w:rFonts w:ascii="TH SarabunPSK" w:hAnsi="TH SarabunPSK" w:cs="TH SarabunPSK"/>
          <w:sz w:val="32"/>
          <w:szCs w:val="32"/>
        </w:rPr>
        <w:t>mg/dl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โรคประจำตัวบันทึกได้จากเวชระเบียนทางระบบคอมพิวเตอร์ร่วมกับการบันทึกลงในข้อมูลการซักประวัติจากแพทย์และพยาบาลขณะตรวจแรกรับ ได้แก่ โรคความดันโลหิตสูง โรคเบาหวาน โรคไตเรื้อรัง โรคไขมันในเลือดสูง โรคหัวใจขาดเลือด หัวใจล้มเหลวเรื้อรัง 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เก๊าต์</w:t>
      </w:r>
      <w:proofErr w:type="spellEnd"/>
      <w:r w:rsidRPr="003C02E8">
        <w:rPr>
          <w:rFonts w:ascii="TH SarabunPSK" w:hAnsi="TH SarabunPSK" w:cs="TH SarabunPSK"/>
          <w:sz w:val="32"/>
          <w:szCs w:val="32"/>
          <w:cs/>
        </w:rPr>
        <w:t xml:space="preserve"> หอบหืด ถุงลมโป่งพอง หัวใจเต้นผิดจังหวะ หลอดเลือดสมอง ต่อมลูกหมากโต ตับแข็ง โลหิตจาง ไทรอยด์ เนื้องอก มะเร็ง 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พาร์</w:t>
      </w:r>
      <w:proofErr w:type="spellEnd"/>
      <w:r w:rsidRPr="003C02E8">
        <w:rPr>
          <w:rFonts w:ascii="TH SarabunPSK" w:hAnsi="TH SarabunPSK" w:cs="TH SarabunPSK"/>
          <w:sz w:val="32"/>
          <w:szCs w:val="32"/>
          <w:cs/>
        </w:rPr>
        <w:t>กินสัน เอ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สแอล</w:t>
      </w:r>
      <w:proofErr w:type="spellEnd"/>
      <w:r w:rsidRPr="003C02E8">
        <w:rPr>
          <w:rFonts w:ascii="TH SarabunPSK" w:hAnsi="TH SarabunPSK" w:cs="TH SarabunPSK"/>
          <w:sz w:val="32"/>
          <w:szCs w:val="32"/>
          <w:cs/>
        </w:rPr>
        <w:t>อี กล้ามเนื้อหัวใจตาย ลมชัก โรครูมา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ตอยด์</w:t>
      </w:r>
      <w:proofErr w:type="spellEnd"/>
      <w:r w:rsidRPr="003C02E8">
        <w:rPr>
          <w:rFonts w:ascii="TH SarabunPSK" w:hAnsi="TH SarabunPSK" w:cs="TH SarabunPSK"/>
          <w:sz w:val="32"/>
          <w:szCs w:val="32"/>
          <w:cs/>
        </w:rPr>
        <w:t xml:space="preserve"> โรคหัวใจรูมาติก หลอดเลือดดำอุดตัน  ตามลำดับ ดังแสดงในตารางที่ </w:t>
      </w:r>
      <w:r w:rsidR="001E4F18">
        <w:rPr>
          <w:rFonts w:ascii="TH SarabunPSK" w:hAnsi="TH SarabunPSK" w:cs="TH SarabunPSK"/>
          <w:sz w:val="32"/>
          <w:szCs w:val="32"/>
        </w:rPr>
        <w:t>2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  <w:gridCol w:w="2520"/>
      </w:tblGrid>
      <w:tr w:rsidR="003C02E8" w:rsidRPr="003C02E8" w:rsidTr="00891A02">
        <w:trPr>
          <w:tblHeader/>
        </w:trPr>
        <w:tc>
          <w:tcPr>
            <w:tcW w:w="6205" w:type="dxa"/>
            <w:shd w:val="clear" w:color="auto" w:fill="E7E6E6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520" w:type="dxa"/>
            <w:shd w:val="clear" w:color="auto" w:fill="E7E6E6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</w:t>
            </w: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n=814</w:t>
            </w: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C02E8" w:rsidRPr="003C02E8" w:rsidTr="00891A02">
        <w:tc>
          <w:tcPr>
            <w:tcW w:w="62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52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369(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45.33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445(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54.67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C02E8" w:rsidRPr="003C02E8" w:rsidTr="00891A02">
        <w:tc>
          <w:tcPr>
            <w:tcW w:w="62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อายุ (ปี)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หญิง</w:t>
            </w:r>
          </w:p>
        </w:tc>
        <w:tc>
          <w:tcPr>
            <w:tcW w:w="252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77.45±9.09</w:t>
            </w:r>
          </w:p>
        </w:tc>
      </w:tr>
      <w:tr w:rsidR="003C02E8" w:rsidRPr="003C02E8" w:rsidTr="00891A02">
        <w:tc>
          <w:tcPr>
            <w:tcW w:w="62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น้ำหนัก (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kg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52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55.23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7.34</w:t>
            </w:r>
          </w:p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47.12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8.23</w:t>
            </w:r>
          </w:p>
        </w:tc>
      </w:tr>
      <w:tr w:rsidR="003C02E8" w:rsidRPr="003C02E8" w:rsidTr="00891A02">
        <w:tc>
          <w:tcPr>
            <w:tcW w:w="62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จำนวนรายการยา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8.17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</w:tc>
      </w:tr>
      <w:tr w:rsidR="003C02E8" w:rsidRPr="003C02E8" w:rsidTr="00891A02">
        <w:tc>
          <w:tcPr>
            <w:tcW w:w="62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ผลตรวจทางห้องปฏิบัติการ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eGFR</w:t>
            </w:r>
            <w:proofErr w:type="spellEnd"/>
            <w:r w:rsidRPr="003C02E8">
              <w:rPr>
                <w:rFonts w:ascii="TH SarabunPSK" w:hAnsi="TH SarabunPSK" w:cs="TH SarabunPSK"/>
                <w:sz w:val="32"/>
                <w:szCs w:val="32"/>
              </w:rPr>
              <w:t xml:space="preserve"> (ml/min/1.73m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CrCl</w:t>
            </w:r>
            <w:proofErr w:type="spellEnd"/>
            <w:r w:rsidRPr="003C02E8">
              <w:rPr>
                <w:rFonts w:ascii="TH SarabunPSK" w:hAnsi="TH SarabunPSK" w:cs="TH SarabunPSK"/>
                <w:sz w:val="32"/>
                <w:szCs w:val="32"/>
              </w:rPr>
              <w:t xml:space="preserve"> (ml/min) 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 xml:space="preserve">FBS (mg/dl) 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Systolic Blood Pressure (mmHg)</w:t>
            </w:r>
          </w:p>
          <w:p w:rsidR="003C02E8" w:rsidRPr="003C02E8" w:rsidRDefault="003C02E8" w:rsidP="003C02E8">
            <w:pPr>
              <w:spacing w:after="0" w:line="240" w:lineRule="auto"/>
              <w:ind w:left="78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Diastolic Blood Pressure (mmHg)</w:t>
            </w:r>
          </w:p>
        </w:tc>
        <w:tc>
          <w:tcPr>
            <w:tcW w:w="252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45.77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5.46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40.25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5.23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162.35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27.24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157.13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18.65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91.12</w:t>
            </w:r>
            <w:r w:rsidRPr="003C02E8">
              <w:rPr>
                <w:rFonts w:ascii="TH SarabunPSK" w:hAnsi="TH SarabunPSK" w:cs="TH SarabunPSK"/>
                <w:sz w:val="32"/>
                <w:szCs w:val="32"/>
                <w:u w:val="single"/>
              </w:rPr>
              <w:t>+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12.34</w:t>
            </w:r>
          </w:p>
        </w:tc>
      </w:tr>
      <w:tr w:rsidR="003C02E8" w:rsidRPr="003C02E8" w:rsidTr="00891A02">
        <w:tc>
          <w:tcPr>
            <w:tcW w:w="62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โรคประจำตัว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เบาหวาน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ไตเรื้อรัง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ไขมันในเลือดสูง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โรคหัวใจขาดเลือด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หัวใจล้มเหลวเรื้อรัง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เก๊าต์</w:t>
            </w:r>
            <w:proofErr w:type="spellEnd"/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หอบหืด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ถุงลมโป่งพอง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หัวใจเต้นผิดจังหวะ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หลอดเลือดสมอง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ต่อมลูกหมากโต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ตับแข็ง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โลหิตจาง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ไทรอยด์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เนื้องอก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มะเร็ง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พาร์</w:t>
            </w:r>
            <w:proofErr w:type="spellEnd"/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กินสัน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โรคเอ</w:t>
            </w: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สแอล</w:t>
            </w:r>
            <w:proofErr w:type="spellEnd"/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โรคกล้ามเนื้อหัวใจตาย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ลมชัก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โรครูมา</w:t>
            </w: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ตอยด์</w:t>
            </w:r>
            <w:proofErr w:type="spellEnd"/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โรคหัวใจรูมาติก</w:t>
            </w:r>
          </w:p>
          <w:p w:rsidR="003C02E8" w:rsidRPr="003C02E8" w:rsidRDefault="003C02E8" w:rsidP="003C02E8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หลอดเลือดดำอุดตัน</w:t>
            </w:r>
          </w:p>
        </w:tc>
        <w:tc>
          <w:tcPr>
            <w:tcW w:w="252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(27.56)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288(18.46)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246(15.17)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161(10.32)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79(5.07)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62(3.97)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61(3.91)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50(3.21)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39(2.50)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(1.99)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(1.47)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22(1.41)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19(1.22)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13(0.83)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13(0.83)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5(0.32)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lastRenderedPageBreak/>
              <w:t>4(0.26)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4(0.26)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3(0.19)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3(0.19)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2(0.13)</w:t>
            </w:r>
          </w:p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2(0.13)</w:t>
            </w:r>
          </w:p>
        </w:tc>
      </w:tr>
    </w:tbl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24"/>
          <w:szCs w:val="32"/>
          <w:cs/>
        </w:rPr>
      </w:pPr>
      <w:proofErr w:type="gramStart"/>
      <w:r w:rsidRPr="003C02E8">
        <w:rPr>
          <w:rFonts w:ascii="TH SarabunPSK" w:hAnsi="TH SarabunPSK" w:cs="TH SarabunPSK"/>
          <w:sz w:val="32"/>
          <w:szCs w:val="32"/>
          <w:vertAlign w:val="superscript"/>
        </w:rPr>
        <w:lastRenderedPageBreak/>
        <w:t>a</w:t>
      </w:r>
      <w:proofErr w:type="gramEnd"/>
      <w:r w:rsidRPr="003C02E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3C02E8">
        <w:rPr>
          <w:rFonts w:ascii="TH SarabunPSK" w:hAnsi="TH SarabunPSK" w:cs="TH SarabunPSK" w:hint="cs"/>
          <w:sz w:val="24"/>
          <w:szCs w:val="32"/>
          <w:cs/>
        </w:rPr>
        <w:t>เฉลี่ย</w:t>
      </w:r>
      <w:r w:rsidRPr="003C02E8">
        <w:rPr>
          <w:rFonts w:ascii="TH SarabunPSK" w:hAnsi="TH SarabunPSK" w:cs="TH SarabunPSK"/>
          <w:sz w:val="24"/>
          <w:szCs w:val="32"/>
          <w:u w:val="single"/>
        </w:rPr>
        <w:t>+</w:t>
      </w:r>
      <w:r w:rsidRPr="003C02E8">
        <w:rPr>
          <w:rFonts w:ascii="TH SarabunPSK" w:hAnsi="TH SarabunPSK" w:cs="TH SarabunPSK" w:hint="cs"/>
          <w:sz w:val="24"/>
          <w:szCs w:val="32"/>
          <w:cs/>
        </w:rPr>
        <w:t>ค่าเบี่ยงเบนมาตรฐาน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ปัจจัยที่มีความสัมพันธ์กับค่าอัตราการกรองของไต 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3C02E8">
        <w:rPr>
          <w:rFonts w:ascii="TH SarabunPSK" w:hAnsi="TH SarabunPSK" w:cs="TH SarabunPSK"/>
          <w:b/>
          <w:bCs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ab/>
        <w:t xml:space="preserve">ศึกษาปัจจัยที่คาดว่าจะมีความสัมพันธ์กับ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ได้แก่ อายุ จำนวนรายการยา โรคประจำตัว เมื่อทำการทดสอบการแจกแจงปกติของค่า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ด้วยสถิติการทดสอบโคโมโก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รอฟ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สเมอนอฟ</w:t>
      </w:r>
      <w:proofErr w:type="spellEnd"/>
      <w:r w:rsidRPr="003C02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C02E8">
        <w:rPr>
          <w:rFonts w:ascii="TH SarabunPSK" w:hAnsi="TH SarabunPSK" w:cs="TH SarabunPSK"/>
          <w:sz w:val="32"/>
          <w:szCs w:val="32"/>
        </w:rPr>
        <w:t xml:space="preserve">Kolmogorov-Smirnov test)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พบว่าค่า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มีการแจกแจงแบบปกติ (</w:t>
      </w:r>
      <w:r w:rsidRPr="003C02E8">
        <w:rPr>
          <w:rFonts w:ascii="TH SarabunPSK" w:hAnsi="TH SarabunPSK" w:cs="TH SarabunPSK"/>
          <w:sz w:val="32"/>
          <w:szCs w:val="32"/>
        </w:rPr>
        <w:t xml:space="preserve">P&gt;0.05)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ดังนั้นจึงเลือกสถิติ </w:t>
      </w:r>
      <w:r w:rsidRPr="003C02E8">
        <w:rPr>
          <w:rFonts w:ascii="TH SarabunPSK" w:hAnsi="TH SarabunPSK" w:cs="TH SarabunPSK"/>
          <w:sz w:val="32"/>
          <w:szCs w:val="32"/>
        </w:rPr>
        <w:t xml:space="preserve">Pearson’s Correlation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C02E8">
        <w:rPr>
          <w:rFonts w:ascii="TH SarabunPSK" w:hAnsi="TH SarabunPSK" w:cs="TH SarabunPSK"/>
          <w:sz w:val="32"/>
          <w:szCs w:val="32"/>
        </w:rPr>
        <w:t xml:space="preserve">Independent t-test </w:t>
      </w:r>
      <w:r w:rsidRPr="003C02E8">
        <w:rPr>
          <w:rFonts w:ascii="TH SarabunPSK" w:hAnsi="TH SarabunPSK" w:cs="TH SarabunPSK"/>
          <w:sz w:val="32"/>
          <w:szCs w:val="32"/>
          <w:cs/>
        </w:rPr>
        <w:t>ในการแปลผลการศึกษา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ab/>
        <w:t xml:space="preserve">จากผลการวิเคราะห์ข้อมูลพบว่า อายุและจำนวนยามีความสัมพันธ์แปรผกผันกับ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ค่าสัมประสิทธิ์สหสัมพันธ์ของ</w:t>
      </w:r>
      <w:proofErr w:type="spellStart"/>
      <w:r w:rsidRPr="003C02E8">
        <w:rPr>
          <w:rFonts w:ascii="TH SarabunPSK" w:hAnsi="TH SarabunPSK" w:cs="TH SarabunPSK"/>
          <w:sz w:val="32"/>
          <w:szCs w:val="32"/>
          <w:cs/>
        </w:rPr>
        <w:t>เปียร์</w:t>
      </w:r>
      <w:proofErr w:type="spellEnd"/>
      <w:r w:rsidRPr="003C02E8">
        <w:rPr>
          <w:rFonts w:ascii="TH SarabunPSK" w:hAnsi="TH SarabunPSK" w:cs="TH SarabunPSK"/>
          <w:sz w:val="32"/>
          <w:szCs w:val="32"/>
          <w:cs/>
        </w:rPr>
        <w:t>สัน (</w:t>
      </w:r>
      <w:r w:rsidRPr="003C02E8">
        <w:rPr>
          <w:rFonts w:ascii="TH SarabunPSK" w:hAnsi="TH SarabunPSK" w:cs="TH SarabunPSK"/>
          <w:sz w:val="32"/>
          <w:szCs w:val="32"/>
        </w:rPr>
        <w:t xml:space="preserve">r)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3C02E8">
        <w:rPr>
          <w:rFonts w:ascii="TH SarabunPSK" w:hAnsi="TH SarabunPSK" w:cs="TH SarabunPSK"/>
          <w:sz w:val="32"/>
          <w:szCs w:val="32"/>
        </w:rPr>
        <w:t>0.624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C02E8">
        <w:rPr>
          <w:rFonts w:ascii="TH SarabunPSK" w:hAnsi="TH SarabunPSK" w:cs="TH SarabunPSK"/>
          <w:sz w:val="32"/>
          <w:szCs w:val="32"/>
        </w:rPr>
        <w:t xml:space="preserve">0.475 </w:t>
      </w:r>
      <w:r w:rsidRPr="003C02E8">
        <w:rPr>
          <w:rFonts w:ascii="TH SarabunPSK" w:hAnsi="TH SarabunPSK" w:cs="TH SarabunPSK"/>
          <w:sz w:val="32"/>
          <w:szCs w:val="32"/>
          <w:cs/>
        </w:rPr>
        <w:t>ตามลำดับ ซึ่งมีระดับความสัมพันธ์ปานกลาง แต่ไม่มีนัยสำคัญทางสถิติ (</w:t>
      </w:r>
      <w:r w:rsidRPr="003C02E8">
        <w:rPr>
          <w:rFonts w:ascii="TH SarabunPSK" w:hAnsi="TH SarabunPSK" w:cs="TH SarabunPSK"/>
          <w:sz w:val="32"/>
          <w:szCs w:val="32"/>
        </w:rPr>
        <w:t xml:space="preserve">P&gt;0.05)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ในส่วนการวิเคราะห์ข้อมูลโรคประจำตัว พบว่ามีเฉพาะโรคไตเรื้อรัง และโรคความดันโลหิตสูงที่มีความสัมพันธ์กับค่า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ในระดับปานกลาง ค่า </w:t>
      </w:r>
      <w:r w:rsidRPr="003C02E8">
        <w:rPr>
          <w:rFonts w:ascii="TH SarabunPSK" w:hAnsi="TH SarabunPSK" w:cs="TH SarabunPSK"/>
          <w:sz w:val="32"/>
          <w:szCs w:val="32"/>
        </w:rPr>
        <w:t xml:space="preserve">r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Pr="003C02E8">
        <w:rPr>
          <w:rFonts w:ascii="TH SarabunPSK" w:hAnsi="TH SarabunPSK" w:cs="TH SarabunPSK"/>
          <w:sz w:val="32"/>
          <w:szCs w:val="32"/>
        </w:rPr>
        <w:t xml:space="preserve">0.759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C02E8">
        <w:rPr>
          <w:rFonts w:ascii="TH SarabunPSK" w:hAnsi="TH SarabunPSK" w:cs="TH SarabunPSK"/>
          <w:sz w:val="32"/>
          <w:szCs w:val="32"/>
        </w:rPr>
        <w:t>0.633</w:t>
      </w:r>
      <w:r w:rsidRPr="003C02E8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 (</w:t>
      </w:r>
      <w:r w:rsidRPr="003C02E8">
        <w:rPr>
          <w:rFonts w:ascii="TH SarabunPSK" w:hAnsi="TH SarabunPSK" w:cs="TH SarabunPSK"/>
          <w:sz w:val="32"/>
          <w:szCs w:val="32"/>
        </w:rPr>
        <w:t xml:space="preserve">P&lt;0.05)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ดังแสดงในตารางที่ </w:t>
      </w:r>
      <w:r w:rsidR="001E4F18">
        <w:rPr>
          <w:rFonts w:ascii="TH SarabunPSK" w:hAnsi="TH SarabunPSK" w:cs="TH SarabunPSK"/>
          <w:sz w:val="32"/>
          <w:szCs w:val="32"/>
        </w:rPr>
        <w:t>3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ปัจจัยที่มีความสัมพันธ์กับค่า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3C02E8" w:rsidRPr="003C02E8" w:rsidTr="00891A02">
        <w:trPr>
          <w:tblHeader/>
        </w:trPr>
        <w:tc>
          <w:tcPr>
            <w:tcW w:w="4508" w:type="dxa"/>
            <w:shd w:val="clear" w:color="auto" w:fill="D9D9D9" w:themeFill="background1" w:themeFillShade="D9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สัมประสิทธิ์สหสัมพันธ์ของ</w:t>
            </w:r>
            <w:proofErr w:type="spellStart"/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เปียร์</w:t>
            </w:r>
            <w:proofErr w:type="spellEnd"/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สัน </w:t>
            </w: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(r)</w:t>
            </w:r>
          </w:p>
        </w:tc>
      </w:tr>
      <w:tr w:rsidR="003C02E8" w:rsidRPr="003C02E8" w:rsidTr="00891A02">
        <w:tc>
          <w:tcPr>
            <w:tcW w:w="4508" w:type="dxa"/>
          </w:tcPr>
          <w:p w:rsidR="003C02E8" w:rsidRPr="003C02E8" w:rsidRDefault="003C02E8" w:rsidP="003C02E8">
            <w:pPr>
              <w:spacing w:after="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4509" w:type="dxa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0.624</w:t>
            </w:r>
          </w:p>
        </w:tc>
      </w:tr>
      <w:tr w:rsidR="003C02E8" w:rsidRPr="003C02E8" w:rsidTr="00891A02">
        <w:tc>
          <w:tcPr>
            <w:tcW w:w="4508" w:type="dxa"/>
          </w:tcPr>
          <w:p w:rsidR="003C02E8" w:rsidRPr="003C02E8" w:rsidRDefault="003C02E8" w:rsidP="003C02E8">
            <w:pPr>
              <w:spacing w:after="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รายการยา</w:t>
            </w:r>
          </w:p>
        </w:tc>
        <w:tc>
          <w:tcPr>
            <w:tcW w:w="4509" w:type="dxa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0.475</w:t>
            </w:r>
          </w:p>
        </w:tc>
      </w:tr>
      <w:tr w:rsidR="003C02E8" w:rsidRPr="003C02E8" w:rsidTr="00891A02">
        <w:tc>
          <w:tcPr>
            <w:tcW w:w="4508" w:type="dxa"/>
          </w:tcPr>
          <w:p w:rsidR="003C02E8" w:rsidRPr="003C02E8" w:rsidRDefault="003C02E8" w:rsidP="003C02E8">
            <w:pPr>
              <w:spacing w:after="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โรคความดันโลหิตสูง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4509" w:type="dxa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0.633</w:t>
            </w:r>
          </w:p>
        </w:tc>
      </w:tr>
      <w:tr w:rsidR="003C02E8" w:rsidRPr="003C02E8" w:rsidTr="00891A02">
        <w:tc>
          <w:tcPr>
            <w:tcW w:w="4508" w:type="dxa"/>
          </w:tcPr>
          <w:p w:rsidR="003C02E8" w:rsidRPr="003C02E8" w:rsidRDefault="003C02E8" w:rsidP="003C02E8">
            <w:pPr>
              <w:spacing w:after="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โรคไตเรื้อรัง</w:t>
            </w:r>
            <w:r w:rsidRPr="003C02E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4509" w:type="dxa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0.759</w:t>
            </w:r>
          </w:p>
        </w:tc>
      </w:tr>
    </w:tbl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C02E8">
        <w:rPr>
          <w:rFonts w:ascii="TH SarabunPSK" w:hAnsi="TH SarabunPSK" w:cs="TH SarabunPSK"/>
          <w:sz w:val="32"/>
          <w:szCs w:val="32"/>
          <w:vertAlign w:val="superscript"/>
        </w:rPr>
        <w:t>b</w:t>
      </w:r>
      <w:proofErr w:type="gramEnd"/>
      <w:r w:rsidRPr="003C02E8">
        <w:rPr>
          <w:rFonts w:ascii="TH SarabunPSK" w:hAnsi="TH SarabunPSK" w:cs="TH SarabunPSK"/>
          <w:sz w:val="32"/>
          <w:szCs w:val="32"/>
        </w:rPr>
        <w:t xml:space="preserve"> P&lt;0.05</w:t>
      </w:r>
    </w:p>
    <w:p w:rsidR="005628B0" w:rsidRDefault="005628B0" w:rsidP="003C02E8">
      <w:pPr>
        <w:spacing w:after="0" w:line="23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28B0" w:rsidRDefault="005628B0" w:rsidP="003C02E8">
      <w:pPr>
        <w:spacing w:after="0" w:line="23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การติดตามการปรับขนาดยาตามการทำงานของไต</w:t>
      </w: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 xml:space="preserve">จากผู้ป่วยที่เข้าเกณฑ์การคัดเลือกจำนวน </w:t>
      </w:r>
      <w:r w:rsidRPr="003C02E8">
        <w:rPr>
          <w:rFonts w:ascii="TH SarabunPSK" w:hAnsi="TH SarabunPSK" w:cs="TH SarabunPSK"/>
          <w:sz w:val="32"/>
          <w:szCs w:val="32"/>
        </w:rPr>
        <w:t>814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ราย พบว่ามีผู้ป่วยจำนวน </w:t>
      </w:r>
      <w:r w:rsidRPr="003C02E8">
        <w:rPr>
          <w:rFonts w:ascii="TH SarabunPSK" w:hAnsi="TH SarabunPSK" w:cs="TH SarabunPSK"/>
          <w:sz w:val="32"/>
          <w:szCs w:val="32"/>
        </w:rPr>
        <w:t>480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ราย (ร้อยละ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58.96) 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ที่ได้รับยาที่ต้องได้รับการปรับขนาดตามการทำงานของไต  โดยส่วนใหญ่จะได้รับการปรับขนาดยาเหมาะสม แต่พบว่ามีผู้ป่วยจำนวน </w:t>
      </w:r>
      <w:r w:rsidRPr="003C02E8">
        <w:rPr>
          <w:rFonts w:ascii="TH SarabunPSK" w:hAnsi="TH SarabunPSK" w:cs="TH SarabunPSK"/>
          <w:sz w:val="32"/>
          <w:szCs w:val="32"/>
        </w:rPr>
        <w:t>124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ราย (ร้อยละ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25.83) </w:t>
      </w:r>
      <w:r w:rsidRPr="003C02E8">
        <w:rPr>
          <w:rFonts w:ascii="TH SarabunPSK" w:hAnsi="TH SarabunPSK" w:cs="TH SarabunPSK"/>
          <w:sz w:val="32"/>
          <w:szCs w:val="32"/>
          <w:cs/>
        </w:rPr>
        <w:t>ที่ต้องได้รับคำแนะนำการปรับขนาดยาตามการทำงานของไต</w:t>
      </w: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 xml:space="preserve">เมื่อทำการติดตามการปรับขนาดยาตามการทำงานของไตในผู้ป่วยจำนวน </w:t>
      </w:r>
      <w:r w:rsidRPr="003C02E8">
        <w:rPr>
          <w:rFonts w:ascii="TH SarabunPSK" w:hAnsi="TH SarabunPSK" w:cs="TH SarabunPSK"/>
          <w:sz w:val="32"/>
          <w:szCs w:val="32"/>
        </w:rPr>
        <w:t xml:space="preserve">124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ราย พบว่าผู้ป่วยได้รับยาเหมาะสมตามการทำงานของไตเพิ่มขึ้น </w:t>
      </w:r>
      <w:r w:rsidRPr="003C02E8">
        <w:rPr>
          <w:rFonts w:ascii="TH SarabunPSK" w:hAnsi="TH SarabunPSK" w:cs="TH SarabunPSK"/>
          <w:sz w:val="32"/>
          <w:szCs w:val="32"/>
        </w:rPr>
        <w:t xml:space="preserve">85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ราย (ร้อยละ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68.55) 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โดยจะมีผู้ป่วย </w:t>
      </w:r>
      <w:r w:rsidRPr="003C02E8">
        <w:rPr>
          <w:rFonts w:ascii="TH SarabunPSK" w:hAnsi="TH SarabunPSK" w:cs="TH SarabunPSK"/>
          <w:sz w:val="32"/>
          <w:szCs w:val="32"/>
        </w:rPr>
        <w:t xml:space="preserve">20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ราย (ร้อยละ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16.13) 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ที่แพทย์ยืนยันคำสั่งใช้ยาตามเดิม และอีก </w:t>
      </w:r>
      <w:r w:rsidRPr="003C02E8">
        <w:rPr>
          <w:rFonts w:ascii="TH SarabunPSK" w:hAnsi="TH SarabunPSK" w:cs="TH SarabunPSK"/>
          <w:sz w:val="32"/>
          <w:szCs w:val="32"/>
        </w:rPr>
        <w:t xml:space="preserve">19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ราย (ร้อยละ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15.32)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ที่ถูกจำหน่ายออกจากโรงพยาบาลก่อนได้รับปรับขนาดยา ดังแสดงในแผนผังที่ </w:t>
      </w:r>
      <w:r w:rsidR="001E4F18">
        <w:rPr>
          <w:rFonts w:ascii="TH SarabunPSK" w:hAnsi="TH SarabunPSK" w:cs="TH SarabunPSK"/>
          <w:sz w:val="32"/>
          <w:szCs w:val="32"/>
        </w:rPr>
        <w:t>1</w:t>
      </w: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แผนผังที่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ข้อมูลการติดตามการปรับขนาดยาตามการทำงานของไตในผู้ป่วยในสูงอายุ</w:t>
      </w:r>
      <w:r w:rsidRPr="003C02E8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4834FD" wp14:editId="3B25867B">
                <wp:simplePos x="0" y="0"/>
                <wp:positionH relativeFrom="column">
                  <wp:posOffset>134620</wp:posOffset>
                </wp:positionH>
                <wp:positionV relativeFrom="paragraph">
                  <wp:posOffset>288925</wp:posOffset>
                </wp:positionV>
                <wp:extent cx="5611495" cy="4316730"/>
                <wp:effectExtent l="0" t="0" r="27305" b="2667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1495" cy="4316730"/>
                          <a:chOff x="0" y="0"/>
                          <a:chExt cx="5611595" cy="4316509"/>
                        </a:xfrm>
                      </wpg:grpSpPr>
                      <wps:wsp>
                        <wps:cNvPr id="2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269" y="2321781"/>
                            <a:ext cx="1653043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ได้รับการปรับขนาดยาแล้ว</w:t>
                              </w:r>
                            </w:p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356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0320" y="2321781"/>
                            <a:ext cx="1669774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ต้องได้รับการปรับขนาดยา</w:t>
                              </w:r>
                            </w:p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124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003" y="0"/>
                            <a:ext cx="3700732" cy="62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ผู้ป่วยในที่มีอายุ 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&gt; 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60 ปี และมีค่า </w:t>
                              </w:r>
                              <w:proofErr w:type="spellStart"/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eGFR</w:t>
                              </w:r>
                              <w:proofErr w:type="spellEnd"/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&lt;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60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mL/min/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1.73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m</w:t>
                              </w: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>2</w:t>
                              </w:r>
                            </w:p>
                            <w:p w:rsidR="003C02E8" w:rsidRPr="008E5E9B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814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18" y="1065475"/>
                            <a:ext cx="2115047" cy="64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ผู้ป่วยที่ต้องได้รับการปรับขนาดยา</w:t>
                              </w:r>
                            </w:p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480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ตัวเชื่อมต่อตรง 24"/>
                        <wps:cNvCnPr/>
                        <wps:spPr>
                          <a:xfrm>
                            <a:off x="938253" y="2027582"/>
                            <a:ext cx="24479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ตัวเชื่อมต่อตรง 30"/>
                        <wps:cNvCnPr/>
                        <wps:spPr>
                          <a:xfrm>
                            <a:off x="866692" y="3371353"/>
                            <a:ext cx="383628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674" y="3705308"/>
                            <a:ext cx="1802921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ผู้ป่วยถูกจำหน่ายก่อนปรับยา</w:t>
                              </w:r>
                            </w:p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19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923" y="3713259"/>
                            <a:ext cx="1543050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แพทย์ยืนยันคำสั่งใช้เดิม</w:t>
                              </w:r>
                            </w:p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20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5308"/>
                            <a:ext cx="1655193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ปรับขนาดยาตามคำแนะนำ</w:t>
                              </w:r>
                            </w:p>
                            <w:p w:rsidR="003C02E8" w:rsidRPr="00AD33FC" w:rsidRDefault="003C02E8" w:rsidP="003C02E8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D33F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 85 ราย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2083241" y="620201"/>
                            <a:ext cx="0" cy="45239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930302" y="2027582"/>
                            <a:ext cx="0" cy="3021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387255" y="2027582"/>
                            <a:ext cx="0" cy="29419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2067339" y="1709530"/>
                            <a:ext cx="0" cy="31026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3427012" y="2926080"/>
                            <a:ext cx="0" cy="4383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858740" y="3363401"/>
                            <a:ext cx="0" cy="3569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2719346" y="3371353"/>
                            <a:ext cx="0" cy="33395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4691269" y="3371353"/>
                            <a:ext cx="0" cy="3333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4834FD" id="Group 21" o:spid="_x0000_s1026" style="position:absolute;left:0;text-align:left;margin-left:10.6pt;margin-top:22.75pt;width:441.85pt;height:339.9pt;z-index:251659264" coordsize="56115,4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7" type="#_x0000_t202" style="position:absolute;left:1192;top:23217;width:16531;height:6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ได้รับการปรับขนาดยาแล้ว</w:t>
                        </w:r>
                      </w:p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356 ราย</w:t>
                        </w:r>
                      </w:p>
                    </w:txbxContent>
                  </v:textbox>
                </v:shape>
                <v:shape id="กล่องข้อความ 2" o:spid="_x0000_s1028" type="#_x0000_t202" style="position:absolute;left:25603;top:23217;width:16697;height:6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ต้องได้รับการปรับขนาดยา</w:t>
                        </w:r>
                      </w:p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124 ราย</w:t>
                        </w:r>
                      </w:p>
                    </w:txbxContent>
                  </v:textbox>
                </v:shape>
                <v:shape id="กล่องข้อความ 2" o:spid="_x0000_s1029" type="#_x0000_t202" style="position:absolute;left:3260;width:37007;height:6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ผู้ป่วยในที่มีอายุ 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&gt; 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60 ปี และมีค่า </w:t>
                        </w:r>
                        <w:proofErr w:type="spellStart"/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eGFR</w:t>
                        </w:r>
                        <w:proofErr w:type="spellEnd"/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&lt;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60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mL/min/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1.73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m</w:t>
                        </w: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vertAlign w:val="superscript"/>
                            <w:cs/>
                          </w:rPr>
                          <w:t>2</w:t>
                        </w:r>
                      </w:p>
                      <w:p w:rsidR="003C02E8" w:rsidRPr="008E5E9B" w:rsidRDefault="003C02E8" w:rsidP="003C02E8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814 ราย</w:t>
                        </w:r>
                      </w:p>
                    </w:txbxContent>
                  </v:textbox>
                </v:shape>
                <v:shape id="กล่องข้อความ 2" o:spid="_x0000_s1030" type="#_x0000_t202" style="position:absolute;left:10257;top:10654;width:21150;height:6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ผู้ป่วยที่ต้องได้รับการปรับขนาดยา</w:t>
                        </w:r>
                      </w:p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480 ราย</w:t>
                        </w:r>
                      </w:p>
                    </w:txbxContent>
                  </v:textbox>
                </v:shape>
                <v:line id="ตัวเชื่อมต่อตรง 24" o:spid="_x0000_s1031" style="position:absolute;visibility:visible;mso-wrap-style:square" from="9382,20275" to="33861,2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<v:stroke joinstyle="miter"/>
                </v:line>
                <v:line id="ตัวเชื่อมต่อตรง 30" o:spid="_x0000_s1032" style="position:absolute;visibility:visible;mso-wrap-style:square" from="8666,33713" to="47029,3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6A38QAAADbAAAADwAAAGRycy9kb3ducmV2LnhtbESPMWvDMBSE90L+g3iBbo0cD61xo4Q2&#10;UMiQoYm9eHu1XmVT68lIauz8+6oQyHjc3XfcZjfbQVzIh96xgvUqA0HcOt2zUVBXH08FiBCRNQ6O&#10;ScGVAuy2i4cNltpNfKLLORqRIBxKVNDFOJZShrYji2HlRuLkfTtvMSbpjdQepwS3g8yz7Fla7Dkt&#10;dDjSvqP25/xrFRwLMxWnpvmMU/GVv1dtXflrptTjcn57BRFpjvfwrX3QCvIX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oDfxAAAANsAAAAPAAAAAAAAAAAA&#10;AAAAAKECAABkcnMvZG93bnJldi54bWxQSwUGAAAAAAQABAD5AAAAkgMAAAAA&#10;" strokecolor="windowText" strokeweight=".5pt">
                  <v:stroke joinstyle="miter"/>
                </v:line>
                <v:shape id="กล่องข้อความ 2" o:spid="_x0000_s1033" type="#_x0000_t202" style="position:absolute;left:38086;top:37053;width:18029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ผู้ป่วยถูกจำหน่ายก่อนปรับยา</w:t>
                        </w:r>
                      </w:p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19 ราย</w:t>
                        </w:r>
                      </w:p>
                    </w:txbxContent>
                  </v:textbox>
                </v:shape>
                <v:shape id="กล่องข้อความ 2" o:spid="_x0000_s1034" type="#_x0000_t202" style="position:absolute;left:19719;top:37132;width:15430;height:6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แพทย์ยืนยันคำสั่งใช้เดิม</w:t>
                        </w:r>
                      </w:p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20 ราย</w:t>
                        </w:r>
                      </w:p>
                    </w:txbxContent>
                  </v:textbox>
                </v:shape>
                <v:shape id="กล่องข้อความ 2" o:spid="_x0000_s1035" type="#_x0000_t202" style="position:absolute;top:37053;width:16551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ปรับขนาดยาตามคำแนะนำ</w:t>
                        </w:r>
                      </w:p>
                      <w:p w:rsidR="003C02E8" w:rsidRPr="00AD33FC" w:rsidRDefault="003C02E8" w:rsidP="003C02E8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AD33F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 85 ราย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36" type="#_x0000_t32" style="position:absolute;left:20832;top:6202;width:0;height:45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aB5cQAAADbAAAADwAAAGRycy9kb3ducmV2LnhtbESPW2sCMRSE3wv9D+EUfJGaVUHs1iji&#10;BXwp6lro62Fz9kI3J2sSdf33piD0cZiZb5jZojONuJLztWUFw0ECgji3uuZSwfdp+z4F4QOyxsYy&#10;KbiTh8X89WWGqbY3PtI1C6WIEPYpKqhCaFMpfV6RQT+wLXH0CusMhihdKbXDW4SbRo6SZCIN1hwX&#10;KmxpVVH+m12MAlkex+ZnU3STr8J9rA/9/bnN9kr13rrlJ4hAXfgPP9s7rWA8hL8v8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oHlxAAAANsAAAAPAAAAAAAAAAAA&#10;AAAAAKECAABkcnMvZG93bnJldi54bWxQSwUGAAAAAAQABAD5AAAAkgMAAAAA&#10;" strokecolor="windowText" strokeweight=".5pt">
                  <v:stroke endarrow="block" joinstyle="miter"/>
                </v:shape>
                <v:shape id="Straight Arrow Connector 32" o:spid="_x0000_s1037" type="#_x0000_t32" style="position:absolute;left:9303;top:20275;width:0;height:3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QfksUAAADbAAAADwAAAGRycy9kb3ducmV2LnhtbESPT2sCMRTE7wW/Q3hCL0WzXUHqalxK&#10;W8GLqFvB62Pz9g9uXrZJqttv3wiFHoeZ+Q2zygfTiSs531pW8DxNQBCXVrdcKzh9biYvIHxA1thZ&#10;JgU/5CFfjx5WmGl74yNdi1CLCGGfoYImhD6T0pcNGfRT2xNHr7LOYIjS1VI7vEW46WSaJHNpsOW4&#10;0GBPbw2Vl+LbKJD1cWbOH9Uw31Vu8X542n/1xV6px/HwugQRaAj/4b/2ViuYpXD/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QfksUAAADbAAAADwAAAAAAAAAA&#10;AAAAAAChAgAAZHJzL2Rvd25yZXYueG1sUEsFBgAAAAAEAAQA+QAAAJMDAAAAAA==&#10;" strokecolor="windowText" strokeweight=".5pt">
                  <v:stroke endarrow="block" joinstyle="miter"/>
                </v:shape>
                <v:shape id="Straight Arrow Connector 33" o:spid="_x0000_s1038" type="#_x0000_t32" style="position:absolute;left:33872;top:20275;width:0;height:29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6CcQAAADbAAAADwAAAGRycy9kb3ducmV2LnhtbESPT2sCMRTE70K/Q3gFL1KzdUHs1iil&#10;Kngp6rbQ62Pz9g/dvKxJ1PXbm4LgcZiZ3zDzZW9acSbnG8sKXscJCOLC6oYrBT/fm5cZCB+QNbaW&#10;ScGVPCwXT4M5Ztpe+EDnPFQiQthnqKAOocuk9EVNBv3YdsTRK60zGKJ0ldQOLxFuWjlJkqk02HBc&#10;qLGjz5qKv/xkFMjqkJrfddlPv0r3ttqPdscu3yk1fO4/3kEE6sMjfG9vtYI0hf8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LoJxAAAANsAAAAPAAAAAAAAAAAA&#10;AAAAAKECAABkcnMvZG93bnJldi54bWxQSwUGAAAAAAQABAD5AAAAkgMAAAAA&#10;" strokecolor="windowText" strokeweight=".5pt">
                  <v:stroke endarrow="block" joinstyle="miter"/>
                </v:shape>
                <v:line id="Straight Connector 34" o:spid="_x0000_s1039" style="position:absolute;visibility:visible;mso-wrap-style:square" from="20673,17095" to="20673,2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WIdcMAAADbAAAADwAAAGRycy9kb3ducmV2LnhtbESPT4vCMBTE78J+h/AEb5r6Byldo7jC&#10;wh72oNaLt2fzti02LyWJtn77jSB4HGbmN8xq05tG3Mn52rKC6SQBQVxYXXOp4JR/j1MQPiBrbCyT&#10;ggd52Kw/BivMtO34QPdjKEWEsM9QQRVCm0npi4oM+oltiaP3Z53BEKUrpXbYRbhp5CxJltJgzXGh&#10;wpZ2FRXX480o+E3LLj2cz/vQpZfZV16ccvdIlBoN++0niEB9eIdf7R+tYL6A5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FiHXDAAAA2wAAAA8AAAAAAAAAAAAA&#10;AAAAoQIAAGRycy9kb3ducmV2LnhtbFBLBQYAAAAABAAEAPkAAACRAwAAAAA=&#10;" strokecolor="windowText" strokeweight=".5pt">
                  <v:stroke joinstyle="miter"/>
                </v:line>
                <v:line id="Straight Connector 35" o:spid="_x0000_s1040" style="position:absolute;visibility:visible;mso-wrap-style:square" from="34270,29260" to="34270,3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t7sMAAADbAAAADwAAAGRycy9kb3ducmV2LnhtbESPQYvCMBSE78L+h/AEb5qqKKVrFFdY&#10;2MMe1Hrx9mzetsXmpSTR1n+/EQSPw8x8w6w2vWnEnZyvLSuYThIQxIXVNZcKTvn3OAXhA7LGxjIp&#10;eJCHzfpjsMJM244PdD+GUkQI+wwVVCG0mZS+qMign9iWOHp/1hkMUbpSaoddhJtGzpJkKQ3WHBcq&#10;bGlXUXE93oyC37Ts0sP5vA9depl95cUpd49EqdGw336CCNSHd/jV/tEK5g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JLe7DAAAA2wAAAA8AAAAAAAAAAAAA&#10;AAAAoQIAAGRycy9kb3ducmV2LnhtbFBLBQYAAAAABAAEAPkAAACRAwAAAAA=&#10;" strokecolor="windowText" strokeweight=".5pt">
                  <v:stroke joinstyle="miter"/>
                </v:line>
                <v:shape id="Straight Arrow Connector 36" o:spid="_x0000_s1041" type="#_x0000_t32" style="position:absolute;left:8587;top:33634;width:0;height:3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8ZkcUAAADbAAAADwAAAGRycy9kb3ducmV2LnhtbESPT2sCMRTE7wW/Q3iCF6nZVljq1ihS&#10;W+hF7K6FXh+bt39w87ImUbffvhGEHoeZ+Q2zXA+mExdyvrWs4GmWgCAurW65VvB9+Hh8AeEDssbO&#10;Min4JQ/r1ehhiZm2V87pUoRaRAj7DBU0IfSZlL5syKCf2Z44epV1BkOUrpba4TXCTSefkySVBluO&#10;Cw329NZQeSzORoGs87n5ea+GdFe5xfZruj/1xV6pyXjYvIIINIT/8L39qRX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8ZkcUAAADbAAAADwAAAAAAAAAA&#10;AAAAAAChAgAAZHJzL2Rvd25yZXYueG1sUEsFBgAAAAAEAAQA+QAAAJMDAAAAAA==&#10;" strokecolor="windowText" strokeweight=".5pt">
                  <v:stroke endarrow="block" joinstyle="miter"/>
                </v:shape>
                <v:shape id="Straight Arrow Connector 37" o:spid="_x0000_s1042" type="#_x0000_t32" style="position:absolute;left:27193;top:33713;width:0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8CsUAAADbAAAADwAAAGRycy9kb3ducmV2LnhtbESPT2sCMRTE7wW/Q3hCL1KzVbB1a5Si&#10;LXgRu6vg9bF5+4duXtYk1fXbNwWhx2FmfsMsVr1pxYWcbywreB4nIIgLqxuuFBwPn0+vIHxA1tha&#10;JgU38rBaDh4WmGp75YwueahEhLBPUUEdQpdK6YuaDPqx7YijV1pnMETpKqkdXiPctHKSJDNpsOG4&#10;UGNH65qK7/zHKJBVNjWnj7Kf7Uo333yN9ucu3yv1OOzf30AE6sN/+N7eagXTF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O8CsUAAADbAAAADwAAAAAAAAAA&#10;AAAAAAChAgAAZHJzL2Rvd25yZXYueG1sUEsFBgAAAAAEAAQA+QAAAJMDAAAAAA==&#10;" strokecolor="windowText" strokeweight=".5pt">
                  <v:stroke endarrow="block" joinstyle="miter"/>
                </v:shape>
                <v:shape id="Straight Arrow Connector 38" o:spid="_x0000_s1043" type="#_x0000_t32" style="position:absolute;left:46912;top:33713;width:0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oeMIAAADbAAAADwAAAGRycy9kb3ducmV2LnhtbERPy2oCMRTdC/2HcAtuimaqIHU0M5S2&#10;QjeiTgW3l8mdB05upknU6d+bRcHl4bzX+WA6cSXnW8sKXqcJCOLS6pZrBcefzeQNhA/IGjvLpOCP&#10;POTZ02iNqbY3PtC1CLWIIexTVNCE0KdS+rIhg35qe+LIVdYZDBG6WmqHtxhuOjlLkoU02HJsaLCn&#10;j4bKc3ExCmR9mJvTVzUstpVbfu5fdr99sVNq/Dy8r0AEGsJD/O/+1grmcWz8En+Az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woeMIAAADbAAAADwAAAAAAAAAAAAAA&#10;AAChAgAAZHJzL2Rvd25yZXYueG1sUEsFBgAAAAAEAAQA+QAAAJADAAAAAA==&#10;" strokecolor="windowText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โดยรายการยาที่พบว่ามีการสั่งใช้ไม่เหมาะสมตามการทำงานของไตมากที่สุด </w:t>
      </w:r>
      <w:r w:rsidRPr="003C02E8">
        <w:rPr>
          <w:rFonts w:ascii="TH SarabunPSK" w:hAnsi="TH SarabunPSK" w:cs="TH SarabunPSK"/>
          <w:sz w:val="32"/>
          <w:szCs w:val="32"/>
        </w:rPr>
        <w:t xml:space="preserve">3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อันดับแรกคือ กลุ่มยาปฏิชีวนะ (ร้อยละ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67.91)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รองลงมาคือยา </w:t>
      </w:r>
      <w:r w:rsidRPr="003C02E8">
        <w:rPr>
          <w:rFonts w:ascii="TH SarabunPSK" w:hAnsi="TH SarabunPSK" w:cs="TH SarabunPSK"/>
          <w:sz w:val="32"/>
          <w:szCs w:val="32"/>
        </w:rPr>
        <w:t>Ranitidine (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17.91)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และยา </w:t>
      </w:r>
      <w:r w:rsidRPr="003C02E8">
        <w:rPr>
          <w:rFonts w:ascii="TH SarabunPSK" w:hAnsi="TH SarabunPSK" w:cs="TH SarabunPSK"/>
          <w:sz w:val="32"/>
          <w:szCs w:val="32"/>
        </w:rPr>
        <w:t>Colchicine (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C02E8">
        <w:rPr>
          <w:rFonts w:ascii="TH SarabunPSK" w:hAnsi="TH SarabunPSK" w:cs="TH SarabunPSK"/>
          <w:sz w:val="32"/>
          <w:szCs w:val="32"/>
        </w:rPr>
        <w:t xml:space="preserve">3.73) 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ตามลำดับ ดังแสดงในตารางที่ </w:t>
      </w:r>
      <w:r w:rsidR="001E4F18">
        <w:rPr>
          <w:rFonts w:ascii="TH SarabunPSK" w:hAnsi="TH SarabunPSK" w:cs="TH SarabunPSK"/>
          <w:sz w:val="32"/>
          <w:szCs w:val="32"/>
        </w:rPr>
        <w:t>4</w:t>
      </w:r>
    </w:p>
    <w:p w:rsidR="003C02E8" w:rsidRPr="003C02E8" w:rsidRDefault="003C02E8" w:rsidP="003C02E8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02E8" w:rsidRPr="003C02E8" w:rsidRDefault="003C02E8" w:rsidP="003C02E8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ผลลัพธ์ด้านเภสัชเศรษฐศาสตร์</w:t>
      </w: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 xml:space="preserve">จากการแนะนำการปรับขนาดยาตามการทำงานของไตโดยเภสัชกร เมื่อคำนวณจากผลรวมของมูลค่ายาต่อหน่วย ตามระยะเวลาการใช้ยาหรือจำนวนวันนอนโรงพยาบาล พบว่าสามารถประหยัดค่าใช้จ่ายเฉพาะมูลค่ายาได้ </w:t>
      </w:r>
      <w:r w:rsidRPr="003C02E8">
        <w:rPr>
          <w:rFonts w:ascii="TH SarabunPSK" w:hAnsi="TH SarabunPSK" w:cs="TH SarabunPSK"/>
          <w:sz w:val="32"/>
          <w:szCs w:val="32"/>
        </w:rPr>
        <w:t xml:space="preserve">69,453.50 </w:t>
      </w:r>
      <w:r w:rsidRPr="003C02E8">
        <w:rPr>
          <w:rFonts w:ascii="TH SarabunPSK" w:hAnsi="TH SarabunPSK" w:cs="TH SarabunPSK"/>
          <w:sz w:val="32"/>
          <w:szCs w:val="32"/>
          <w:cs/>
        </w:rPr>
        <w:t>บาท เฉลี่ย</w:t>
      </w:r>
      <w:r w:rsidRPr="003C02E8">
        <w:rPr>
          <w:rFonts w:ascii="TH SarabunPSK" w:hAnsi="TH SarabunPSK" w:cs="TH SarabunPSK"/>
          <w:sz w:val="32"/>
          <w:szCs w:val="32"/>
        </w:rPr>
        <w:t xml:space="preserve"> 7,717.06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บาทต่อเดือน โดยรายละเอียดมูลค่ายาที่ประหยัดได้ ดังแสดงในตารางที่ </w:t>
      </w:r>
      <w:r w:rsidR="001E4F18">
        <w:rPr>
          <w:rFonts w:ascii="TH SarabunPSK" w:hAnsi="TH SarabunPSK" w:cs="TH SarabunPSK"/>
          <w:sz w:val="32"/>
          <w:szCs w:val="32"/>
        </w:rPr>
        <w:t>4</w:t>
      </w: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C02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C02E8">
        <w:rPr>
          <w:rFonts w:ascii="TH SarabunPSK" w:hAnsi="TH SarabunPSK" w:cs="TH SarabunPSK"/>
          <w:sz w:val="32"/>
          <w:szCs w:val="32"/>
          <w:cs/>
        </w:rPr>
        <w:t>รายการยาที่ต้องปรับขนาดยาตามการทำงานของไตและมูลค่ายาที่ประหยัดได้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710"/>
        <w:gridCol w:w="2340"/>
        <w:gridCol w:w="2605"/>
      </w:tblGrid>
      <w:tr w:rsidR="003C02E8" w:rsidRPr="003C02E8" w:rsidTr="003C02E8">
        <w:trPr>
          <w:tblHeader/>
        </w:trPr>
        <w:tc>
          <w:tcPr>
            <w:tcW w:w="2695" w:type="dxa"/>
            <w:shd w:val="clear" w:color="auto" w:fill="E7E6E6"/>
            <w:vAlign w:val="center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รายการยา</w:t>
            </w:r>
          </w:p>
        </w:tc>
        <w:tc>
          <w:tcPr>
            <w:tcW w:w="1710" w:type="dxa"/>
            <w:shd w:val="clear" w:color="auto" w:fill="E7E6E6"/>
            <w:vAlign w:val="center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ราคายาต่อหน่วย (บาท)</w:t>
            </w:r>
          </w:p>
        </w:tc>
        <w:tc>
          <w:tcPr>
            <w:tcW w:w="2340" w:type="dxa"/>
            <w:shd w:val="clear" w:color="auto" w:fill="E7E6E6"/>
            <w:vAlign w:val="center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จำนวนครั้งที่แพทย์</w:t>
            </w:r>
          </w:p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ปรับขนาดยา (ครั้ง)</w:t>
            </w:r>
          </w:p>
        </w:tc>
        <w:tc>
          <w:tcPr>
            <w:tcW w:w="2605" w:type="dxa"/>
            <w:shd w:val="clear" w:color="auto" w:fill="E7E6E6"/>
            <w:vAlign w:val="center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Ceftazidime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3,552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Ranitidine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Meropenem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25,839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Piperacillin</w:t>
            </w:r>
            <w:proofErr w:type="spellEnd"/>
            <w:r w:rsidRPr="003C02E8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Tazobactam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15,708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Augmentin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770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Colistin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5,700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Colchicine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Vancomycin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4,648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Clarithromycin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448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Levofloxacin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6,825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Ciprofloxacin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3,339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Tamiflu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465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Ibuprofen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Glipizide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Ampicillin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12.5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Naproxen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lastRenderedPageBreak/>
              <w:t>Tenofovir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Streptomycin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Ofloxacin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Lamivudine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Atenolol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Allopurinol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Fluconazole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Cefoperazone</w:t>
            </w:r>
            <w:proofErr w:type="spellEnd"/>
            <w:r w:rsidRPr="003C02E8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Sulbactam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C02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3C02E8">
              <w:rPr>
                <w:rFonts w:ascii="TH SarabunPSK" w:hAnsi="TH SarabunPSK" w:cs="TH SarabunPSK"/>
                <w:sz w:val="32"/>
                <w:szCs w:val="32"/>
              </w:rPr>
              <w:t>309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Metformin</w:t>
            </w:r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C02E8">
              <w:rPr>
                <w:rFonts w:ascii="TH SarabunPSK" w:hAnsi="TH SarabunPSK" w:cs="TH SarabunPSK"/>
                <w:sz w:val="32"/>
                <w:szCs w:val="32"/>
              </w:rPr>
              <w:t>Cefotaxime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340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3C02E8" w:rsidRPr="003C02E8" w:rsidTr="00891A02">
        <w:tc>
          <w:tcPr>
            <w:tcW w:w="2695" w:type="dxa"/>
            <w:shd w:val="clear" w:color="auto" w:fill="E7E6E6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shd w:val="clear" w:color="auto" w:fill="E7E6E6"/>
          </w:tcPr>
          <w:p w:rsidR="003C02E8" w:rsidRPr="003C02E8" w:rsidRDefault="003C02E8" w:rsidP="003C02E8">
            <w:pPr>
              <w:spacing w:after="0" w:line="23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E7E6E6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2605" w:type="dxa"/>
            <w:shd w:val="clear" w:color="auto" w:fill="E7E6E6"/>
          </w:tcPr>
          <w:p w:rsidR="003C02E8" w:rsidRPr="003C02E8" w:rsidRDefault="003C02E8" w:rsidP="003C0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2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69,453.50</w:t>
            </w:r>
          </w:p>
        </w:tc>
      </w:tr>
    </w:tbl>
    <w:p w:rsidR="003C02E8" w:rsidRPr="003C02E8" w:rsidRDefault="003C02E8" w:rsidP="003C02E8">
      <w:pPr>
        <w:spacing w:after="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2E8">
        <w:rPr>
          <w:rFonts w:ascii="TH SarabunPSK" w:hAnsi="TH SarabunPSK" w:cs="TH SarabunPSK"/>
          <w:sz w:val="32"/>
          <w:szCs w:val="32"/>
        </w:rPr>
        <w:t>*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มูลค่ายาที่คำนวณจากผลรวมของมูลค่ายาต่อหน่วย ตามระยะเวลาการใช้ยาหรือจำนวนวันนอนโรงพยาบาลของผู้ป่วยแต่ละรายแล้ว</w:t>
      </w:r>
    </w:p>
    <w:p w:rsidR="004756BC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56BC" w:rsidRPr="004756BC" w:rsidRDefault="004756B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สรุปและข้อเสนอแนะ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56B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56BC">
        <w:rPr>
          <w:rFonts w:ascii="TH SarabunIT๙" w:hAnsi="TH SarabunIT๙" w:cs="TH SarabunIT๙"/>
          <w:sz w:val="32"/>
          <w:szCs w:val="32"/>
          <w:cs/>
        </w:rPr>
        <w:t>สรุปสาระส</w:t>
      </w:r>
      <w:r w:rsidRPr="004756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6BC">
        <w:rPr>
          <w:rFonts w:ascii="TH SarabunIT๙" w:hAnsi="TH SarabunIT๙" w:cs="TH SarabunIT๙"/>
          <w:sz w:val="32"/>
          <w:szCs w:val="32"/>
          <w:cs/>
        </w:rPr>
        <w:t>คัญของผลการศึกษา และข้อเสนอแนะอย่างสั้น รัดกุม ชัดเจน</w:t>
      </w:r>
      <w:r w:rsidRPr="004756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2E8" w:rsidRPr="003C02E8" w:rsidRDefault="003C02E8" w:rsidP="003C02E8">
      <w:pPr>
        <w:spacing w:after="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ปัจจัยด้านอายุ จำนวนรายการยา และโรคความดันโลหิตสูง มีความสัมพันธ์ต่อค่า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ที่ลดลง ซึ่งเป็นปัจจัยที่ไม่สามารถเปลี่ยนแปลง ผลจาก</w:t>
      </w:r>
      <w:r w:rsidRPr="003C02E8">
        <w:rPr>
          <w:rFonts w:ascii="TH SarabunPSK" w:hAnsi="TH SarabunPSK" w:cs="TH SarabunPSK"/>
          <w:sz w:val="32"/>
          <w:szCs w:val="32"/>
          <w:cs/>
        </w:rPr>
        <w:t>การให้บริบาลเภสัชกรรม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ปรับขนาดยาตามการทำงานของไต</w:t>
      </w:r>
      <w:r w:rsidRPr="003C02E8">
        <w:rPr>
          <w:rFonts w:ascii="TH SarabunPSK" w:hAnsi="TH SarabunPSK" w:cs="TH SarabunPSK"/>
          <w:sz w:val="32"/>
          <w:szCs w:val="32"/>
          <w:cs/>
        </w:rPr>
        <w:t>โดย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เภสัชกรที่เป็นที่ยอมรับจากบุคลากรทางการแพทย์ จึง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เป็นแนวทางหนึ่งในการป้องกันและชะลอการเสื่อมหน้าที่ของไต 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และคาดว่าสามารถ</w:t>
      </w:r>
      <w:r w:rsidRPr="003C02E8">
        <w:rPr>
          <w:rFonts w:ascii="TH SarabunPSK" w:hAnsi="TH SarabunPSK" w:cs="TH SarabunPSK"/>
          <w:sz w:val="32"/>
          <w:szCs w:val="32"/>
          <w:cs/>
        </w:rPr>
        <w:t>ช่วยยืดระยะเวลาของการรักษาด้วยการบำบัดทดแทนไตให้ยาวนานออกไป ลดอัตราการเจ็บป่วย ลดระยะเวลาการนอนโรงพยาบาล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จากอาการไม่พึงประสงค์จากยา</w:t>
      </w:r>
      <w:r w:rsidRPr="003C02E8">
        <w:rPr>
          <w:rFonts w:ascii="TH SarabunPSK" w:hAnsi="TH SarabunPSK" w:cs="TH SarabunPSK"/>
          <w:sz w:val="32"/>
          <w:szCs w:val="32"/>
          <w:cs/>
        </w:rPr>
        <w:t xml:space="preserve"> หรือลดอัตราเสียชีวิตจากโรคไตเรื้อรัง รวมไปถึงสามารถประหยัดค่าใช้จ่ายด้าน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Pr="003C02E8">
        <w:rPr>
          <w:rFonts w:ascii="TH SarabunPSK" w:hAnsi="TH SarabunPSK" w:cs="TH SarabunPSK"/>
          <w:sz w:val="32"/>
          <w:szCs w:val="32"/>
          <w:cs/>
        </w:rPr>
        <w:t>ยา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หลังจากการปรับขนาดยาตามการทำงานของไต</w:t>
      </w:r>
      <w:r w:rsidRPr="003C02E8">
        <w:rPr>
          <w:rFonts w:ascii="TH SarabunPSK" w:hAnsi="TH SarabunPSK" w:cs="TH SarabunPSK"/>
          <w:sz w:val="32"/>
          <w:szCs w:val="32"/>
          <w:cs/>
        </w:rPr>
        <w:t>ได้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4756BC" w:rsidRDefault="004756BC" w:rsidP="003D6A9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3C02E8" w:rsidRPr="003C02E8" w:rsidRDefault="003C02E8" w:rsidP="003C02E8">
      <w:pPr>
        <w:spacing w:after="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02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:rsidR="003C02E8" w:rsidRPr="003C02E8" w:rsidRDefault="003C02E8" w:rsidP="003C02E8">
      <w:pPr>
        <w:numPr>
          <w:ilvl w:val="0"/>
          <w:numId w:val="6"/>
        </w:numPr>
        <w:spacing w:after="0"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 xml:space="preserve">สามารถศึกษาถึงความสัมพันธ์ของปัจจัยต่อการค่าการทำงานของไตเพิ่มเติมได้ หากมีการบันทึกข้อมูลผลตรวจทางห้องปฏิบัติการอื่น ๆ ร่วมด้วย </w:t>
      </w:r>
    </w:p>
    <w:p w:rsidR="003C02E8" w:rsidRPr="003C02E8" w:rsidRDefault="003C02E8" w:rsidP="003C02E8">
      <w:pPr>
        <w:numPr>
          <w:ilvl w:val="0"/>
          <w:numId w:val="6"/>
        </w:numPr>
        <w:spacing w:after="0"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 xml:space="preserve">แนะนำการติดตามผลตรวจค่า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หลังผู้ป่วยถูกจำหน่ายออกจากโรงพยาบาล เพื่อศึกษาถึงผลของการชะลอไตเสื่อมหลังได้รับขนาดยาที่เหมาะสมกับค่าการทำงานของไต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02E8" w:rsidRPr="003C02E8" w:rsidRDefault="003C02E8" w:rsidP="003C02E8">
      <w:pPr>
        <w:numPr>
          <w:ilvl w:val="0"/>
          <w:numId w:val="6"/>
        </w:numPr>
        <w:spacing w:after="0"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lastRenderedPageBreak/>
        <w:t xml:space="preserve">ขยายผลการติดตามค่าการทำงานของไตในผู้ป่วยทุกรายที่มีการทำงานของไตบกพร่อง หรือค่า </w:t>
      </w:r>
      <w:proofErr w:type="spellStart"/>
      <w:r w:rsidRPr="003C02E8">
        <w:rPr>
          <w:rFonts w:ascii="TH SarabunPSK" w:hAnsi="TH SarabunPSK" w:cs="TH SarabunPSK"/>
          <w:sz w:val="32"/>
          <w:szCs w:val="32"/>
        </w:rPr>
        <w:t>eGFR</w:t>
      </w:r>
      <w:proofErr w:type="spellEnd"/>
      <w:r w:rsidRPr="003C02E8">
        <w:rPr>
          <w:rFonts w:ascii="TH SarabunPSK" w:hAnsi="TH SarabunPSK" w:cs="TH SarabunPSK"/>
          <w:sz w:val="32"/>
          <w:szCs w:val="32"/>
        </w:rPr>
        <w:t xml:space="preserve"> &lt; 60 ml/min/1.73m</w:t>
      </w:r>
      <w:r w:rsidRPr="003C02E8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3C02E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3C02E8">
        <w:rPr>
          <w:rFonts w:ascii="TH SarabunPSK" w:hAnsi="TH SarabunPSK" w:cs="TH SarabunPSK"/>
          <w:sz w:val="32"/>
          <w:szCs w:val="32"/>
          <w:cs/>
        </w:rPr>
        <w:t>เภสัชกรให้คำแนะนำการปรับขนาดยาตามการทำงานของไตอย่างเหมาะสม</w:t>
      </w:r>
    </w:p>
    <w:p w:rsidR="003C02E8" w:rsidRPr="003C02E8" w:rsidRDefault="003C02E8" w:rsidP="003C02E8">
      <w:pPr>
        <w:numPr>
          <w:ilvl w:val="0"/>
          <w:numId w:val="6"/>
        </w:numPr>
        <w:spacing w:after="0" w:line="259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02E8">
        <w:rPr>
          <w:rFonts w:ascii="TH SarabunPSK" w:hAnsi="TH SarabunPSK" w:cs="TH SarabunPSK"/>
          <w:sz w:val="32"/>
          <w:szCs w:val="32"/>
          <w:cs/>
        </w:rPr>
        <w:t>ติดตามการปรับยาเชิงรุกในกรณีที่ผู้ป่วยได้รับยาปฏิชีวนะ โดยการตรวจสอบขนาดยาที่เหมาะสมตามค่าการทำงานของไตหลังแพทย์สั่งใช้ยาครั้งแรกทุกครั้ง</w:t>
      </w:r>
      <w:r w:rsidRPr="003C02E8">
        <w:rPr>
          <w:rFonts w:ascii="TH SarabunPSK" w:hAnsi="TH SarabunPSK" w:cs="TH SarabunPSK" w:hint="cs"/>
          <w:sz w:val="32"/>
          <w:szCs w:val="32"/>
          <w:cs/>
        </w:rPr>
        <w:t xml:space="preserve"> ร่วมกับการประเมินผลวิเคราะห์ต้นทุน</w:t>
      </w:r>
      <w:r w:rsidRPr="003C02E8">
        <w:rPr>
          <w:rFonts w:ascii="TH SarabunPSK" w:hAnsi="TH SarabunPSK" w:cs="TH SarabunPSK"/>
          <w:sz w:val="32"/>
          <w:szCs w:val="32"/>
        </w:rPr>
        <w:t>-</w:t>
      </w:r>
      <w:r w:rsidRPr="003C02E8">
        <w:rPr>
          <w:rFonts w:ascii="TH SarabunPSK" w:hAnsi="TH SarabunPSK" w:cs="TH SarabunPSK" w:hint="cs"/>
          <w:sz w:val="32"/>
          <w:szCs w:val="32"/>
          <w:cs/>
        </w:rPr>
        <w:t>ประสิทธิผล</w:t>
      </w:r>
      <w:r w:rsidRPr="003C02E8">
        <w:rPr>
          <w:rFonts w:ascii="TH SarabunPSK" w:eastAsia="AngsanaUPC-Bold" w:hAnsi="TH SarabunPSK" w:cs="TH SarabunPSK"/>
          <w:sz w:val="32"/>
          <w:szCs w:val="32"/>
          <w:cs/>
        </w:rPr>
        <w:t>ของการปรับขนาดยาตามไตในผู้ป่วย</w:t>
      </w:r>
    </w:p>
    <w:p w:rsidR="003C02E8" w:rsidRPr="003C02E8" w:rsidRDefault="003C02E8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332F9" w:rsidRPr="009332F9" w:rsidRDefault="003D6A90" w:rsidP="009332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6D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เอกสารอ้างอิง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fldChar w:fldCharType="begin"/>
      </w:r>
      <w:r w:rsidRPr="00425913">
        <w:rPr>
          <w:rFonts w:ascii="TH SarabunPSK" w:hAnsi="TH SarabunPSK" w:cs="TH SarabunPSK"/>
          <w:sz w:val="32"/>
          <w:szCs w:val="32"/>
        </w:rPr>
        <w:instrText xml:space="preserve"> ADDIN EN.REFLIST </w:instrText>
      </w:r>
      <w:r w:rsidRPr="00425913">
        <w:rPr>
          <w:rFonts w:ascii="TH SarabunPSK" w:hAnsi="TH SarabunPSK" w:cs="TH SarabunPSK"/>
          <w:sz w:val="32"/>
          <w:szCs w:val="32"/>
        </w:rPr>
        <w:fldChar w:fldCharType="separate"/>
      </w:r>
      <w:r w:rsidRPr="00425913">
        <w:rPr>
          <w:rFonts w:ascii="TH SarabunPSK" w:hAnsi="TH SarabunPSK" w:cs="TH SarabunPSK"/>
          <w:sz w:val="32"/>
          <w:szCs w:val="32"/>
        </w:rPr>
        <w:t>1.</w:t>
      </w:r>
      <w:r w:rsidRPr="00425913">
        <w:rPr>
          <w:rFonts w:ascii="TH SarabunPSK" w:hAnsi="TH SarabunPSK" w:cs="TH SarabunPSK"/>
          <w:sz w:val="32"/>
          <w:szCs w:val="32"/>
        </w:rPr>
        <w:tab/>
        <w:t>Eknoyan G LN, Eckardt K, Kasiske BL, Wheeler DC, Abboud OI, et al. KDIGO 2012 Clinical Practice Guideline for the Evaluation and Management of Chronic Kidney Disease. Kidney International Supplements. 2013;3.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2.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ธนกิจจารุ ป. สถานการณ์ปัจจุบันของโรคไตเรื้อรังในประเทศไทย: วารสารกรมการแพทย์</w:t>
      </w:r>
      <w:r w:rsidRPr="00425913">
        <w:rPr>
          <w:rFonts w:ascii="TH SarabunPSK" w:hAnsi="TH SarabunPSK" w:cs="TH SarabunPSK"/>
          <w:sz w:val="32"/>
          <w:szCs w:val="32"/>
        </w:rPr>
        <w:t xml:space="preserve">; 2558 [Available from: </w:t>
      </w:r>
      <w:hyperlink r:id="rId8" w:history="1">
        <w:r w:rsidRPr="00425913">
          <w:rPr>
            <w:rStyle w:val="ab"/>
            <w:rFonts w:ascii="TH SarabunPSK" w:hAnsi="TH SarabunPSK" w:cs="TH SarabunPSK"/>
            <w:sz w:val="32"/>
            <w:szCs w:val="32"/>
          </w:rPr>
          <w:t>http://www.dms.moph.go.th/dmsweb/dmsweb_v2_2/content/org/webpageJDMS_30/demo/data/2558/2558-05/no.5_01.pdf</w:t>
        </w:r>
      </w:hyperlink>
      <w:r w:rsidRPr="00425913">
        <w:rPr>
          <w:rFonts w:ascii="TH SarabunPSK" w:hAnsi="TH SarabunPSK" w:cs="TH SarabunPSK"/>
          <w:sz w:val="32"/>
          <w:szCs w:val="32"/>
        </w:rPr>
        <w:t>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3.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 xml:space="preserve">สมาคมโรคไตแห่งประเทศไทย. </w:t>
      </w:r>
      <w:r w:rsidRPr="00425913">
        <w:rPr>
          <w:rFonts w:ascii="TH SarabunPSK" w:hAnsi="TH SarabunPSK" w:cs="TH SarabunPSK"/>
          <w:sz w:val="32"/>
          <w:szCs w:val="32"/>
        </w:rPr>
        <w:t>Thailand Renal Replacement Therapy Registry 2013 Report  [2019 Jun 17].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4.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ชมเชย ช. ไตกับผู้สูงอายุ  [</w:t>
      </w:r>
      <w:r w:rsidRPr="00425913">
        <w:rPr>
          <w:rFonts w:ascii="TH SarabunPSK" w:hAnsi="TH SarabunPSK" w:cs="TH SarabunPSK"/>
          <w:sz w:val="32"/>
          <w:szCs w:val="32"/>
        </w:rPr>
        <w:t xml:space="preserve">Available from: </w:t>
      </w:r>
      <w:hyperlink r:id="rId9" w:history="1">
        <w:r w:rsidRPr="00425913">
          <w:rPr>
            <w:rStyle w:val="ab"/>
            <w:rFonts w:ascii="TH SarabunPSK" w:hAnsi="TH SarabunPSK" w:cs="TH SarabunPSK"/>
            <w:sz w:val="32"/>
            <w:szCs w:val="32"/>
          </w:rPr>
          <w:t>https://www.bangkokhospital.com/index.php/th/diseases-treatment/aging-and-kidney</w:t>
        </w:r>
      </w:hyperlink>
      <w:r w:rsidRPr="00425913">
        <w:rPr>
          <w:rFonts w:ascii="TH SarabunPSK" w:hAnsi="TH SarabunPSK" w:cs="TH SarabunPSK"/>
          <w:sz w:val="32"/>
          <w:szCs w:val="32"/>
        </w:rPr>
        <w:t>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5.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ดาราพร รุ้งพราย ศส</w:t>
      </w:r>
      <w:r w:rsidRPr="00425913">
        <w:rPr>
          <w:rFonts w:ascii="TH SarabunPSK" w:hAnsi="TH SarabunPSK" w:cs="TH SarabunPSK"/>
          <w:sz w:val="32"/>
          <w:szCs w:val="32"/>
        </w:rPr>
        <w:t xml:space="preserve">, </w:t>
      </w:r>
      <w:r w:rsidRPr="00425913">
        <w:rPr>
          <w:rFonts w:ascii="TH SarabunPSK" w:hAnsi="TH SarabunPSK" w:cs="TH SarabunPSK"/>
          <w:sz w:val="32"/>
          <w:szCs w:val="32"/>
          <w:cs/>
        </w:rPr>
        <w:t>วีรชัย ไชยจามร</w:t>
      </w:r>
      <w:r w:rsidRPr="00425913">
        <w:rPr>
          <w:rFonts w:ascii="TH SarabunPSK" w:hAnsi="TH SarabunPSK" w:cs="TH SarabunPSK"/>
          <w:sz w:val="32"/>
          <w:szCs w:val="32"/>
        </w:rPr>
        <w:t xml:space="preserve">, </w:t>
      </w:r>
      <w:r w:rsidRPr="00425913">
        <w:rPr>
          <w:rFonts w:ascii="TH SarabunPSK" w:hAnsi="TH SarabunPSK" w:cs="TH SarabunPSK"/>
          <w:sz w:val="32"/>
          <w:szCs w:val="32"/>
          <w:cs/>
        </w:rPr>
        <w:t>อุษณีย์ วนรรฆมณี</w:t>
      </w:r>
      <w:r w:rsidRPr="00425913">
        <w:rPr>
          <w:rFonts w:ascii="TH SarabunPSK" w:hAnsi="TH SarabunPSK" w:cs="TH SarabunPSK"/>
          <w:sz w:val="32"/>
          <w:szCs w:val="32"/>
        </w:rPr>
        <w:t xml:space="preserve">, </w:t>
      </w:r>
      <w:r w:rsidRPr="00425913">
        <w:rPr>
          <w:rFonts w:ascii="TH SarabunPSK" w:hAnsi="TH SarabunPSK" w:cs="TH SarabunPSK"/>
          <w:sz w:val="32"/>
          <w:szCs w:val="32"/>
          <w:cs/>
        </w:rPr>
        <w:t>กมลวรรณ อ่อนละมัย</w:t>
      </w:r>
      <w:r w:rsidRPr="00425913">
        <w:rPr>
          <w:rFonts w:ascii="TH SarabunPSK" w:hAnsi="TH SarabunPSK" w:cs="TH SarabunPSK"/>
          <w:sz w:val="32"/>
          <w:szCs w:val="32"/>
        </w:rPr>
        <w:t xml:space="preserve">, </w:t>
      </w:r>
      <w:r w:rsidRPr="00425913">
        <w:rPr>
          <w:rFonts w:ascii="TH SarabunPSK" w:hAnsi="TH SarabunPSK" w:cs="TH SarabunPSK"/>
          <w:sz w:val="32"/>
          <w:szCs w:val="32"/>
          <w:cs/>
        </w:rPr>
        <w:t>พิรดา วงษ์พิรา. คู่มือการดูแลผู้ป่วยโรคไตสำหรับเภสัชกร. กรุงเทพฯ: บริษัทประชาชน จำกัด</w:t>
      </w:r>
      <w:r w:rsidRPr="00425913">
        <w:rPr>
          <w:rFonts w:ascii="TH SarabunPSK" w:hAnsi="TH SarabunPSK" w:cs="TH SarabunPSK"/>
          <w:sz w:val="32"/>
          <w:szCs w:val="32"/>
        </w:rPr>
        <w:t>; 2558.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6.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จันทะวงศ์ ส. การใช้ยาที่ไม่เหมาะสมในผู้สูงวัยที่เป็นโรคไตวายเรื้อรัง (</w:t>
      </w:r>
      <w:r w:rsidRPr="00425913">
        <w:rPr>
          <w:rFonts w:ascii="TH SarabunPSK" w:hAnsi="TH SarabunPSK" w:cs="TH SarabunPSK"/>
          <w:sz w:val="32"/>
          <w:szCs w:val="32"/>
        </w:rPr>
        <w:t xml:space="preserve">Potentially Inappropriate Medication Use in Geriatric Patient with Chronic Kidney Disease)  [Available from: </w:t>
      </w:r>
      <w:hyperlink r:id="rId10" w:history="1">
        <w:r w:rsidRPr="00425913">
          <w:rPr>
            <w:rStyle w:val="ab"/>
            <w:rFonts w:ascii="TH SarabunPSK" w:hAnsi="TH SarabunPSK" w:cs="TH SarabunPSK"/>
            <w:sz w:val="32"/>
            <w:szCs w:val="32"/>
          </w:rPr>
          <w:t>http://ccpe.pharmacycouncil.org/showfile.php?file=538</w:t>
        </w:r>
      </w:hyperlink>
      <w:r w:rsidRPr="00425913">
        <w:rPr>
          <w:rFonts w:ascii="TH SarabunPSK" w:hAnsi="TH SarabunPSK" w:cs="TH SarabunPSK"/>
          <w:sz w:val="32"/>
          <w:szCs w:val="32"/>
        </w:rPr>
        <w:t>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7.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 xml:space="preserve">สมาคมโรคไตแห่งประเทศไทย. คำแนะนำสำหรับการดูแลผู้ป่วยโรคไตเรื้อรังก่อนการบำบัดทดแทนไต พ.ศ. </w:t>
      </w:r>
      <w:r w:rsidRPr="00425913">
        <w:rPr>
          <w:rFonts w:ascii="TH SarabunPSK" w:hAnsi="TH SarabunPSK" w:cs="TH SarabunPSK"/>
          <w:sz w:val="32"/>
          <w:szCs w:val="32"/>
        </w:rPr>
        <w:t>25582558.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8.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 xml:space="preserve">สมาคมโรคไตแห่งประเทศไทย. คำแนะนำสำหรับการดูแลผู้ป่วยโรคไตเรื้อรังก่อนการบำบัดทดแทนไต พ.ศ. </w:t>
      </w:r>
      <w:r w:rsidRPr="00425913">
        <w:rPr>
          <w:rFonts w:ascii="TH SarabunPSK" w:hAnsi="TH SarabunPSK" w:cs="TH SarabunPSK"/>
          <w:sz w:val="32"/>
          <w:szCs w:val="32"/>
        </w:rPr>
        <w:t xml:space="preserve">2558 Clinical Practice Recommendation for the Evaluation and Management of Chronic Kidney Disease in Adults 2015. </w:t>
      </w:r>
      <w:r w:rsidRPr="0042591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25913">
        <w:rPr>
          <w:rFonts w:ascii="TH SarabunPSK" w:hAnsi="TH SarabunPSK" w:cs="TH SarabunPSK"/>
          <w:sz w:val="32"/>
          <w:szCs w:val="32"/>
        </w:rPr>
        <w:t>;2558.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9.</w:t>
      </w:r>
      <w:r w:rsidRPr="00425913">
        <w:rPr>
          <w:rFonts w:ascii="TH SarabunPSK" w:hAnsi="TH SarabunPSK" w:cs="TH SarabunPSK"/>
          <w:sz w:val="32"/>
          <w:szCs w:val="32"/>
        </w:rPr>
        <w:tab/>
        <w:t>Clinical evaluation of renal function [press release]. 1988.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lastRenderedPageBreak/>
        <w:t>10.</w:t>
      </w:r>
      <w:r w:rsidRPr="00425913">
        <w:rPr>
          <w:rFonts w:ascii="TH SarabunPSK" w:hAnsi="TH SarabunPSK" w:cs="TH SarabunPSK"/>
          <w:sz w:val="32"/>
          <w:szCs w:val="32"/>
        </w:rPr>
        <w:tab/>
        <w:t>Cockcroft DW GM. Prediction of creatinine clearance from serum creatinine Nephron. 1976;16:31-41.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11.</w:t>
      </w:r>
      <w:r w:rsidRPr="00425913">
        <w:rPr>
          <w:rFonts w:ascii="TH SarabunPSK" w:hAnsi="TH SarabunPSK" w:cs="TH SarabunPSK"/>
          <w:sz w:val="32"/>
          <w:szCs w:val="32"/>
        </w:rPr>
        <w:tab/>
        <w:t>Levey AS BJ, Lewis JB, et al. A more accurate method to estimate glomerular filtration rate from serum creatinine: a new prediction equation. Modification of Diet in renal Disease Study Group. Ann Intern Med. 1999;130:461-70.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12.</w:t>
      </w:r>
      <w:r w:rsidRPr="00425913">
        <w:rPr>
          <w:rFonts w:ascii="TH SarabunPSK" w:hAnsi="TH SarabunPSK" w:cs="TH SarabunPSK"/>
          <w:sz w:val="32"/>
          <w:szCs w:val="32"/>
        </w:rPr>
        <w:tab/>
        <w:t>Levey AS CJ, Greene T, et al. Expressing the modification of diet in renal disease equation for estimating glomerular filtration rate with standardized serum creatinine values. Clinical chemistry. 2007;53:766-72.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13.</w:t>
      </w:r>
      <w:r w:rsidRPr="00425913">
        <w:rPr>
          <w:rFonts w:ascii="TH SarabunPSK" w:hAnsi="TH SarabunPSK" w:cs="TH SarabunPSK"/>
          <w:sz w:val="32"/>
          <w:szCs w:val="32"/>
        </w:rPr>
        <w:tab/>
        <w:t>Levey AS GT, Kusek JW, et al. A simplified equation to predict glomerular filtration rate from serum creatinine. J Am Soc Nephrol. 2000;11:828A.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14.</w:t>
      </w:r>
      <w:r w:rsidRPr="00425913">
        <w:rPr>
          <w:rFonts w:ascii="TH SarabunPSK" w:hAnsi="TH SarabunPSK" w:cs="TH SarabunPSK"/>
          <w:sz w:val="32"/>
          <w:szCs w:val="32"/>
        </w:rPr>
        <w:tab/>
        <w:t>Levey AS SL, Schmid CH, et al. A new equation to estimate glomerular filtration rate. Ann Intern Med. 2009;150:604-12.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15.</w:t>
      </w:r>
      <w:r w:rsidRPr="00425913">
        <w:rPr>
          <w:rFonts w:ascii="TH SarabunPSK" w:hAnsi="TH SarabunPSK" w:cs="TH SarabunPSK"/>
          <w:sz w:val="32"/>
          <w:szCs w:val="32"/>
        </w:rPr>
        <w:tab/>
        <w:t>Praditpornsila K TN, Chawatanarat T, et al. The need for robust validation for MDRD-based glomerular filtration rate estimation in various CKD populations. Nephrol Dial Transplant. 2011;26:2780-5.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16.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ชิดชนก เรือนก้อน อเ. เภสัชระบาดวิทยาและเภสัชเศรษฐศาสตร์เบื้องต้น. เชียงใหม่: คณะเภสัชศาสตร์ มหาวิทยาลัยเชียงใหม่</w:t>
      </w:r>
      <w:r w:rsidRPr="00425913">
        <w:rPr>
          <w:rFonts w:ascii="TH SarabunPSK" w:hAnsi="TH SarabunPSK" w:cs="TH SarabunPSK"/>
          <w:sz w:val="32"/>
          <w:szCs w:val="32"/>
        </w:rPr>
        <w:t>; 2549.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17.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วินัดดา ชุตินารา เท</w:t>
      </w:r>
      <w:r w:rsidRPr="00425913">
        <w:rPr>
          <w:rFonts w:ascii="TH SarabunPSK" w:hAnsi="TH SarabunPSK" w:cs="TH SarabunPSK"/>
          <w:sz w:val="32"/>
          <w:szCs w:val="32"/>
        </w:rPr>
        <w:t xml:space="preserve">, </w:t>
      </w:r>
      <w:r w:rsidRPr="00425913">
        <w:rPr>
          <w:rFonts w:ascii="TH SarabunPSK" w:hAnsi="TH SarabunPSK" w:cs="TH SarabunPSK"/>
          <w:sz w:val="32"/>
          <w:szCs w:val="32"/>
          <w:cs/>
        </w:rPr>
        <w:t>ศรินธร ขันธหัตถ์. การติดตามและปรับขนาดยาปฏิชีวนะในผู้ป่วยที่มีการทำงานของไตบกพร่องที่นอนรักษาตัวในโรงพยาบาล (</w:t>
      </w:r>
      <w:r w:rsidRPr="00425913">
        <w:rPr>
          <w:rFonts w:ascii="TH SarabunPSK" w:hAnsi="TH SarabunPSK" w:cs="TH SarabunPSK"/>
          <w:sz w:val="32"/>
          <w:szCs w:val="32"/>
        </w:rPr>
        <w:t xml:space="preserve">Outcome of Adjustment Dosage of Antibiotics in Patient with Renal Impairment). </w:t>
      </w:r>
      <w:r w:rsidRPr="00425913">
        <w:rPr>
          <w:rFonts w:ascii="TH SarabunPSK" w:hAnsi="TH SarabunPSK" w:cs="TH SarabunPSK"/>
          <w:sz w:val="32"/>
          <w:szCs w:val="32"/>
          <w:cs/>
        </w:rPr>
        <w:t>วารสารเภสัชกรรมโรงพยาบาล.</w:t>
      </w:r>
      <w:r w:rsidRPr="00425913">
        <w:rPr>
          <w:rFonts w:ascii="TH SarabunPSK" w:hAnsi="TH SarabunPSK" w:cs="TH SarabunPSK"/>
          <w:sz w:val="32"/>
          <w:szCs w:val="32"/>
        </w:rPr>
        <w:t>22(2):96-105.</w:t>
      </w:r>
    </w:p>
    <w:p w:rsidR="009332F9" w:rsidRPr="00425913" w:rsidRDefault="009332F9" w:rsidP="009332F9">
      <w:pPr>
        <w:pStyle w:val="EndNoteBibliography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18.</w:t>
      </w:r>
      <w:r w:rsidRPr="00425913">
        <w:rPr>
          <w:rFonts w:ascii="TH SarabunPSK" w:hAnsi="TH SarabunPSK" w:cs="TH SarabunPSK"/>
          <w:sz w:val="32"/>
          <w:szCs w:val="32"/>
        </w:rPr>
        <w:tab/>
      </w:r>
      <w:r w:rsidRPr="00425913">
        <w:rPr>
          <w:rFonts w:ascii="TH SarabunPSK" w:hAnsi="TH SarabunPSK" w:cs="TH SarabunPSK"/>
          <w:sz w:val="32"/>
          <w:szCs w:val="32"/>
          <w:cs/>
        </w:rPr>
        <w:t>นวลช่วย พ. ผลของการให้บริบาลทางเภสัชกรรมต่อการควบคุมปัจจัยเสี่ยงต่อการเสื่อมของไตในผู้ป่วยโรคไตเรื้อรัง ณ โรงพยาบาลท่าศาลา. สงขลา: มหาวิทยาลัยสงขลานครินทร์</w:t>
      </w:r>
      <w:r w:rsidRPr="00425913">
        <w:rPr>
          <w:rFonts w:ascii="TH SarabunPSK" w:hAnsi="TH SarabunPSK" w:cs="TH SarabunPSK"/>
          <w:sz w:val="32"/>
          <w:szCs w:val="32"/>
        </w:rPr>
        <w:t>; 2555.</w:t>
      </w:r>
    </w:p>
    <w:p w:rsidR="003D6A90" w:rsidRDefault="009332F9" w:rsidP="000959F5">
      <w:pPr>
        <w:pStyle w:val="EndNoteBibliography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25913">
        <w:rPr>
          <w:rFonts w:ascii="TH SarabunPSK" w:hAnsi="TH SarabunPSK" w:cs="TH SarabunPSK"/>
          <w:sz w:val="32"/>
          <w:szCs w:val="32"/>
        </w:rPr>
        <w:t>19.</w:t>
      </w:r>
      <w:r w:rsidRPr="00425913">
        <w:rPr>
          <w:rFonts w:ascii="TH SarabunPSK" w:hAnsi="TH SarabunPSK" w:cs="TH SarabunPSK"/>
          <w:sz w:val="32"/>
          <w:szCs w:val="32"/>
        </w:rPr>
        <w:tab/>
        <w:t>Stemer G, Lemmens-Gruber R. Clinical pharmacy activities in chronic kidney disease and end-stage renal disease patients: a systematic literature review. BMC Nephrology. 2011;12(1):35.</w:t>
      </w:r>
      <w:r w:rsidRPr="00425913">
        <w:rPr>
          <w:rFonts w:ascii="TH SarabunPSK" w:hAnsi="TH SarabunPSK" w:cs="TH SarabunPSK"/>
          <w:sz w:val="32"/>
          <w:szCs w:val="32"/>
        </w:rPr>
        <w:fldChar w:fldCharType="end"/>
      </w:r>
    </w:p>
    <w:sectPr w:rsidR="003D6A90" w:rsidSect="001549FD">
      <w:headerReference w:type="default" r:id="rId11"/>
      <w:footerReference w:type="default" r:id="rId12"/>
      <w:pgSz w:w="12240" w:h="15840"/>
      <w:pgMar w:top="1440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39" w:rsidRDefault="00820739" w:rsidP="00776430">
      <w:pPr>
        <w:spacing w:after="0" w:line="240" w:lineRule="auto"/>
      </w:pPr>
      <w:r>
        <w:separator/>
      </w:r>
    </w:p>
  </w:endnote>
  <w:endnote w:type="continuationSeparator" w:id="0">
    <w:p w:rsidR="00820739" w:rsidRDefault="00820739" w:rsidP="0077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2A" w:rsidRDefault="007F5F2A">
    <w:pPr>
      <w:pStyle w:val="a5"/>
    </w:pPr>
  </w:p>
  <w:p w:rsidR="007F5F2A" w:rsidRDefault="007F5F2A">
    <w:pPr>
      <w:pStyle w:val="a5"/>
    </w:pPr>
  </w:p>
  <w:p w:rsidR="007F5F2A" w:rsidRDefault="007F5F2A">
    <w:pPr>
      <w:pStyle w:val="a5"/>
    </w:pPr>
  </w:p>
  <w:p w:rsidR="007F5F2A" w:rsidRDefault="007F5F2A">
    <w:pPr>
      <w:pStyle w:val="a5"/>
    </w:pPr>
  </w:p>
  <w:p w:rsidR="007F5F2A" w:rsidRDefault="007F5F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39" w:rsidRDefault="00820739" w:rsidP="00776430">
      <w:pPr>
        <w:spacing w:after="0" w:line="240" w:lineRule="auto"/>
      </w:pPr>
      <w:r>
        <w:separator/>
      </w:r>
    </w:p>
  </w:footnote>
  <w:footnote w:type="continuationSeparator" w:id="0">
    <w:p w:rsidR="00820739" w:rsidRDefault="00820739" w:rsidP="0077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F2A" w:rsidRDefault="007F5F2A" w:rsidP="00EA5A23">
    <w:pPr>
      <w:pStyle w:val="a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-342900</wp:posOffset>
          </wp:positionV>
          <wp:extent cx="929640" cy="963930"/>
          <wp:effectExtent l="0" t="0" r="3810" b="7620"/>
          <wp:wrapNone/>
          <wp:docPr id="1" name="Picture 1" descr="PN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DB2"/>
    <w:multiLevelType w:val="hybridMultilevel"/>
    <w:tmpl w:val="E09A3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4115D6B"/>
    <w:multiLevelType w:val="hybridMultilevel"/>
    <w:tmpl w:val="FC40C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336"/>
    <w:multiLevelType w:val="multilevel"/>
    <w:tmpl w:val="79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E426555"/>
    <w:multiLevelType w:val="hybridMultilevel"/>
    <w:tmpl w:val="CCD8004C"/>
    <w:lvl w:ilvl="0" w:tplc="C32E66A0">
      <w:start w:val="1"/>
      <w:numFmt w:val="decimal"/>
      <w:lvlText w:val="%1."/>
      <w:lvlJc w:val="left"/>
      <w:pPr>
        <w:ind w:left="1440" w:hanging="360"/>
      </w:pPr>
      <w:rPr>
        <w:rFonts w:asciiTheme="majorBidi" w:eastAsia="Times New Roman" w:hAnsiTheme="majorBidi" w:cs="Angsana New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E17CC9"/>
    <w:multiLevelType w:val="hybridMultilevel"/>
    <w:tmpl w:val="070EE3B4"/>
    <w:lvl w:ilvl="0" w:tplc="E74C0FD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B5E78DC"/>
    <w:multiLevelType w:val="hybridMultilevel"/>
    <w:tmpl w:val="81F03946"/>
    <w:lvl w:ilvl="0" w:tplc="9BF8275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24"/>
    <w:rsid w:val="00013648"/>
    <w:rsid w:val="000579EF"/>
    <w:rsid w:val="00063886"/>
    <w:rsid w:val="00065073"/>
    <w:rsid w:val="00073179"/>
    <w:rsid w:val="000821BC"/>
    <w:rsid w:val="000835C1"/>
    <w:rsid w:val="000959F5"/>
    <w:rsid w:val="000E6ADE"/>
    <w:rsid w:val="00107570"/>
    <w:rsid w:val="00112970"/>
    <w:rsid w:val="0014192B"/>
    <w:rsid w:val="001426ED"/>
    <w:rsid w:val="0015392A"/>
    <w:rsid w:val="001549FD"/>
    <w:rsid w:val="001C437A"/>
    <w:rsid w:val="001E4F18"/>
    <w:rsid w:val="001E5390"/>
    <w:rsid w:val="00292245"/>
    <w:rsid w:val="00292458"/>
    <w:rsid w:val="002C75CB"/>
    <w:rsid w:val="002D34CD"/>
    <w:rsid w:val="002E1B70"/>
    <w:rsid w:val="002E361B"/>
    <w:rsid w:val="0033633F"/>
    <w:rsid w:val="0034193D"/>
    <w:rsid w:val="003466DD"/>
    <w:rsid w:val="00351DD9"/>
    <w:rsid w:val="0035260A"/>
    <w:rsid w:val="0037477F"/>
    <w:rsid w:val="003A1447"/>
    <w:rsid w:val="003C02E8"/>
    <w:rsid w:val="003D029F"/>
    <w:rsid w:val="003D6A90"/>
    <w:rsid w:val="0042742F"/>
    <w:rsid w:val="0043291D"/>
    <w:rsid w:val="00461C26"/>
    <w:rsid w:val="00464C1B"/>
    <w:rsid w:val="004714D0"/>
    <w:rsid w:val="004756BC"/>
    <w:rsid w:val="00485CCA"/>
    <w:rsid w:val="004976BD"/>
    <w:rsid w:val="004A65C5"/>
    <w:rsid w:val="004B7085"/>
    <w:rsid w:val="004D4286"/>
    <w:rsid w:val="004D514E"/>
    <w:rsid w:val="004E5FEA"/>
    <w:rsid w:val="004E7124"/>
    <w:rsid w:val="004F5C60"/>
    <w:rsid w:val="004F6E45"/>
    <w:rsid w:val="005474BC"/>
    <w:rsid w:val="00554DF1"/>
    <w:rsid w:val="005628B0"/>
    <w:rsid w:val="00585F78"/>
    <w:rsid w:val="005D7A64"/>
    <w:rsid w:val="005F58A6"/>
    <w:rsid w:val="00610176"/>
    <w:rsid w:val="0061313E"/>
    <w:rsid w:val="00630634"/>
    <w:rsid w:val="00680026"/>
    <w:rsid w:val="0068274F"/>
    <w:rsid w:val="006C7EB1"/>
    <w:rsid w:val="006F09A7"/>
    <w:rsid w:val="006F7E95"/>
    <w:rsid w:val="00736168"/>
    <w:rsid w:val="0075313C"/>
    <w:rsid w:val="00773F9F"/>
    <w:rsid w:val="00776430"/>
    <w:rsid w:val="007B19DE"/>
    <w:rsid w:val="007B3FA9"/>
    <w:rsid w:val="007D2C49"/>
    <w:rsid w:val="007D7042"/>
    <w:rsid w:val="007F5F2A"/>
    <w:rsid w:val="00803708"/>
    <w:rsid w:val="00820739"/>
    <w:rsid w:val="0082478B"/>
    <w:rsid w:val="00826404"/>
    <w:rsid w:val="00882B79"/>
    <w:rsid w:val="0091543C"/>
    <w:rsid w:val="009332F9"/>
    <w:rsid w:val="009530D9"/>
    <w:rsid w:val="00996509"/>
    <w:rsid w:val="009A0887"/>
    <w:rsid w:val="009A1DDB"/>
    <w:rsid w:val="00A36585"/>
    <w:rsid w:val="00A41841"/>
    <w:rsid w:val="00A51B8B"/>
    <w:rsid w:val="00AE2192"/>
    <w:rsid w:val="00AF00F7"/>
    <w:rsid w:val="00AF58DD"/>
    <w:rsid w:val="00AF638E"/>
    <w:rsid w:val="00B0136B"/>
    <w:rsid w:val="00B12C72"/>
    <w:rsid w:val="00B31A27"/>
    <w:rsid w:val="00B51116"/>
    <w:rsid w:val="00B6069E"/>
    <w:rsid w:val="00B74682"/>
    <w:rsid w:val="00B96D67"/>
    <w:rsid w:val="00BA5170"/>
    <w:rsid w:val="00BA645D"/>
    <w:rsid w:val="00BA7290"/>
    <w:rsid w:val="00BC2678"/>
    <w:rsid w:val="00BE1D24"/>
    <w:rsid w:val="00C06951"/>
    <w:rsid w:val="00C25923"/>
    <w:rsid w:val="00C55A0D"/>
    <w:rsid w:val="00C725DB"/>
    <w:rsid w:val="00C76E74"/>
    <w:rsid w:val="00C809E2"/>
    <w:rsid w:val="00CB0C56"/>
    <w:rsid w:val="00CC2662"/>
    <w:rsid w:val="00CC4F95"/>
    <w:rsid w:val="00CC602D"/>
    <w:rsid w:val="00CE65F2"/>
    <w:rsid w:val="00CE7540"/>
    <w:rsid w:val="00CF2A00"/>
    <w:rsid w:val="00CF4F42"/>
    <w:rsid w:val="00D00CB4"/>
    <w:rsid w:val="00D07113"/>
    <w:rsid w:val="00D23CC4"/>
    <w:rsid w:val="00D61FA3"/>
    <w:rsid w:val="00D84879"/>
    <w:rsid w:val="00D9225D"/>
    <w:rsid w:val="00D976FD"/>
    <w:rsid w:val="00DD16C5"/>
    <w:rsid w:val="00DD394D"/>
    <w:rsid w:val="00E47DE1"/>
    <w:rsid w:val="00E871C5"/>
    <w:rsid w:val="00EA0AF1"/>
    <w:rsid w:val="00EA5A23"/>
    <w:rsid w:val="00EB2161"/>
    <w:rsid w:val="00EC323E"/>
    <w:rsid w:val="00F65896"/>
    <w:rsid w:val="00F72D9E"/>
    <w:rsid w:val="00F84275"/>
    <w:rsid w:val="00F908E5"/>
    <w:rsid w:val="00FA2D32"/>
    <w:rsid w:val="00FA7BFD"/>
    <w:rsid w:val="00FB31D9"/>
    <w:rsid w:val="00FD4FAA"/>
    <w:rsid w:val="00FD579C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D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locked/>
    <w:rsid w:val="0068274F"/>
    <w:pPr>
      <w:keepNext/>
      <w:spacing w:before="120" w:after="0" w:line="240" w:lineRule="auto"/>
      <w:outlineLvl w:val="1"/>
    </w:pPr>
    <w:rPr>
      <w:rFonts w:ascii="Cordia New" w:eastAsia="Times New Roman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semiHidden/>
    <w:locked/>
    <w:rsid w:val="00776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locked/>
    <w:rsid w:val="00776430"/>
    <w:rPr>
      <w:rFonts w:cs="Times New Roman"/>
    </w:rPr>
  </w:style>
  <w:style w:type="paragraph" w:styleId="a7">
    <w:name w:val="List Paragraph"/>
    <w:basedOn w:val="a"/>
    <w:uiPriority w:val="99"/>
    <w:qFormat/>
    <w:rsid w:val="007764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73F9F"/>
    <w:rPr>
      <w:rFonts w:ascii="Tahoma" w:hAnsi="Tahoma" w:cs="Angsana New"/>
      <w:sz w:val="16"/>
      <w:szCs w:val="18"/>
    </w:rPr>
  </w:style>
  <w:style w:type="character" w:customStyle="1" w:styleId="a9">
    <w:name w:val="ข้อความบอลลูน อักขระ"/>
    <w:link w:val="a8"/>
    <w:uiPriority w:val="99"/>
    <w:semiHidden/>
    <w:locked/>
    <w:rsid w:val="005F58A6"/>
    <w:rPr>
      <w:rFonts w:ascii="Times New Roman" w:hAnsi="Times New Roman" w:cs="Times New Roman"/>
      <w:sz w:val="2"/>
    </w:rPr>
  </w:style>
  <w:style w:type="table" w:styleId="aa">
    <w:name w:val="Table Grid"/>
    <w:basedOn w:val="a1"/>
    <w:uiPriority w:val="99"/>
    <w:locked/>
    <w:rsid w:val="004F6E4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rsid w:val="006C7EB1"/>
    <w:rPr>
      <w:rFonts w:cs="Times New Roman"/>
      <w:color w:val="009933"/>
    </w:rPr>
  </w:style>
  <w:style w:type="character" w:styleId="ab">
    <w:name w:val="Hyperlink"/>
    <w:uiPriority w:val="99"/>
    <w:rsid w:val="006C7EB1"/>
    <w:rPr>
      <w:rFonts w:ascii="Arial" w:hAnsi="Arial" w:cs="Times New Roman"/>
      <w:color w:val="1122CC"/>
      <w:u w:val="single"/>
    </w:rPr>
  </w:style>
  <w:style w:type="character" w:customStyle="1" w:styleId="20">
    <w:name w:val="หัวเรื่อง 2 อักขระ"/>
    <w:basedOn w:val="a0"/>
    <w:link w:val="2"/>
    <w:rsid w:val="0068274F"/>
    <w:rPr>
      <w:rFonts w:ascii="Cordia New" w:eastAsia="Times New Roman" w:hAnsi="Cordia New" w:cs="Angsana New"/>
      <w:b/>
      <w:bCs/>
      <w:sz w:val="32"/>
      <w:szCs w:val="32"/>
    </w:rPr>
  </w:style>
  <w:style w:type="table" w:customStyle="1" w:styleId="1">
    <w:name w:val="เส้นตาราง1"/>
    <w:basedOn w:val="a1"/>
    <w:next w:val="aa"/>
    <w:uiPriority w:val="39"/>
    <w:rsid w:val="003C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a"/>
    <w:link w:val="EndNoteBibliographyChar"/>
    <w:rsid w:val="009332F9"/>
    <w:pPr>
      <w:spacing w:after="160" w:line="240" w:lineRule="auto"/>
      <w:jc w:val="thaiDistribute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9332F9"/>
    <w:rPr>
      <w:rFonts w:cs="Calibri"/>
      <w:noProof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D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locked/>
    <w:rsid w:val="0068274F"/>
    <w:pPr>
      <w:keepNext/>
      <w:spacing w:before="120" w:after="0" w:line="240" w:lineRule="auto"/>
      <w:outlineLvl w:val="1"/>
    </w:pPr>
    <w:rPr>
      <w:rFonts w:ascii="Cordia New" w:eastAsia="Times New Roman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semiHidden/>
    <w:locked/>
    <w:rsid w:val="00776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locked/>
    <w:rsid w:val="00776430"/>
    <w:rPr>
      <w:rFonts w:cs="Times New Roman"/>
    </w:rPr>
  </w:style>
  <w:style w:type="paragraph" w:styleId="a7">
    <w:name w:val="List Paragraph"/>
    <w:basedOn w:val="a"/>
    <w:uiPriority w:val="99"/>
    <w:qFormat/>
    <w:rsid w:val="007764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73F9F"/>
    <w:rPr>
      <w:rFonts w:ascii="Tahoma" w:hAnsi="Tahoma" w:cs="Angsana New"/>
      <w:sz w:val="16"/>
      <w:szCs w:val="18"/>
    </w:rPr>
  </w:style>
  <w:style w:type="character" w:customStyle="1" w:styleId="a9">
    <w:name w:val="ข้อความบอลลูน อักขระ"/>
    <w:link w:val="a8"/>
    <w:uiPriority w:val="99"/>
    <w:semiHidden/>
    <w:locked/>
    <w:rsid w:val="005F58A6"/>
    <w:rPr>
      <w:rFonts w:ascii="Times New Roman" w:hAnsi="Times New Roman" w:cs="Times New Roman"/>
      <w:sz w:val="2"/>
    </w:rPr>
  </w:style>
  <w:style w:type="table" w:styleId="aa">
    <w:name w:val="Table Grid"/>
    <w:basedOn w:val="a1"/>
    <w:uiPriority w:val="99"/>
    <w:locked/>
    <w:rsid w:val="004F6E4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rsid w:val="006C7EB1"/>
    <w:rPr>
      <w:rFonts w:cs="Times New Roman"/>
      <w:color w:val="009933"/>
    </w:rPr>
  </w:style>
  <w:style w:type="character" w:styleId="ab">
    <w:name w:val="Hyperlink"/>
    <w:uiPriority w:val="99"/>
    <w:rsid w:val="006C7EB1"/>
    <w:rPr>
      <w:rFonts w:ascii="Arial" w:hAnsi="Arial" w:cs="Times New Roman"/>
      <w:color w:val="1122CC"/>
      <w:u w:val="single"/>
    </w:rPr>
  </w:style>
  <w:style w:type="character" w:customStyle="1" w:styleId="20">
    <w:name w:val="หัวเรื่อง 2 อักขระ"/>
    <w:basedOn w:val="a0"/>
    <w:link w:val="2"/>
    <w:rsid w:val="0068274F"/>
    <w:rPr>
      <w:rFonts w:ascii="Cordia New" w:eastAsia="Times New Roman" w:hAnsi="Cordia New" w:cs="Angsana New"/>
      <w:b/>
      <w:bCs/>
      <w:sz w:val="32"/>
      <w:szCs w:val="32"/>
    </w:rPr>
  </w:style>
  <w:style w:type="table" w:customStyle="1" w:styleId="1">
    <w:name w:val="เส้นตาราง1"/>
    <w:basedOn w:val="a1"/>
    <w:next w:val="aa"/>
    <w:uiPriority w:val="39"/>
    <w:rsid w:val="003C0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a"/>
    <w:link w:val="EndNoteBibliographyChar"/>
    <w:rsid w:val="009332F9"/>
    <w:pPr>
      <w:spacing w:after="160" w:line="240" w:lineRule="auto"/>
      <w:jc w:val="thaiDistribute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9332F9"/>
    <w:rPr>
      <w:rFonts w:cs="Calibri"/>
      <w:noProof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.moph.go.th/dmsweb/dmsweb_v2_2/content/org/webpageJDMS_30/demo/data/2558/2558-05/no.5_0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cpe.pharmacycouncil.org/showfile.php?file=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gkokhospital.com/index.php/th/diseases-treatment/aging-and-kidne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2709</Words>
  <Characters>11272</Characters>
  <Application>Microsoft Office Word</Application>
  <DocSecurity>0</DocSecurity>
  <Lines>93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การศึกษาผลการดูแลป้องกันการคลอดก่อนกำหนดในหญิงตั้งครรภ์ที่มีภาวะเสี่ยง</vt:lpstr>
      <vt:lpstr>การศึกษาผลการดูแลป้องกันการคลอดก่อนกำหนดในหญิงตั้งครรภ์ที่มีภาวะเสี่ยง</vt:lpstr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การศึกษาผลการดูแลป้องกันการคลอดก่อนกำหนดในหญิงตั้งครรภ์ที่มีภาวะเสี่ยง</dc:title>
  <dc:creator>admin</dc:creator>
  <cp:lastModifiedBy>USER</cp:lastModifiedBy>
  <cp:revision>2</cp:revision>
  <cp:lastPrinted>2013-08-19T11:10:00Z</cp:lastPrinted>
  <dcterms:created xsi:type="dcterms:W3CDTF">2020-06-25T08:29:00Z</dcterms:created>
  <dcterms:modified xsi:type="dcterms:W3CDTF">2020-06-25T08:29:00Z</dcterms:modified>
</cp:coreProperties>
</file>